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D68583">
      <w:pPr>
        <w:spacing w:line="360" w:lineRule="auto"/>
        <w:jc w:val="center"/>
        <w:rPr>
          <w:rFonts w:hint="eastAsia" w:ascii="方正仿宋简体" w:hAnsi="方正仿宋简体" w:eastAsia="方正仿宋简体" w:cs="方正仿宋简体"/>
          <w:b/>
          <w:color w:val="000000" w:themeColor="text1"/>
          <w:sz w:val="44"/>
          <w:szCs w:val="44"/>
          <w:highlight w:val="none"/>
          <w14:textFill>
            <w14:solidFill>
              <w14:schemeClr w14:val="tx1"/>
            </w14:solidFill>
          </w14:textFill>
        </w:rPr>
      </w:pPr>
    </w:p>
    <w:p w14:paraId="5B8A9E75">
      <w:pPr>
        <w:spacing w:line="360" w:lineRule="auto"/>
        <w:jc w:val="center"/>
        <w:rPr>
          <w:rFonts w:cs="宋体"/>
          <w:b/>
          <w:color w:val="000000" w:themeColor="text1"/>
          <w:sz w:val="44"/>
          <w:szCs w:val="44"/>
          <w:highlight w:val="none"/>
          <w14:textFill>
            <w14:solidFill>
              <w14:schemeClr w14:val="tx1"/>
            </w14:solidFill>
          </w14:textFill>
        </w:rPr>
      </w:pPr>
      <w:r>
        <w:rPr>
          <w:rFonts w:hint="eastAsia" w:cs="宋体"/>
          <w:b/>
          <w:color w:val="000000" w:themeColor="text1"/>
          <w:sz w:val="44"/>
          <w:szCs w:val="44"/>
          <w:highlight w:val="none"/>
          <w14:textFill>
            <w14:solidFill>
              <w14:schemeClr w14:val="tx1"/>
            </w14:solidFill>
          </w14:textFill>
        </w:rPr>
        <w:t>南通大学附属医院</w:t>
      </w:r>
      <w:r>
        <w:rPr>
          <w:rFonts w:hint="eastAsia" w:cs="宋体"/>
          <w:b/>
          <w:color w:val="000000" w:themeColor="text1"/>
          <w:sz w:val="44"/>
          <w:szCs w:val="44"/>
          <w:highlight w:val="none"/>
          <w:lang w:eastAsia="zh-CN"/>
          <w14:textFill>
            <w14:solidFill>
              <w14:schemeClr w14:val="tx1"/>
            </w14:solidFill>
          </w14:textFill>
        </w:rPr>
        <w:t>流式细胞仪</w:t>
      </w:r>
      <w:r>
        <w:rPr>
          <w:rFonts w:hint="eastAsia" w:cs="宋体"/>
          <w:b/>
          <w:color w:val="000000" w:themeColor="text1"/>
          <w:sz w:val="44"/>
          <w:szCs w:val="44"/>
          <w:highlight w:val="none"/>
          <w14:textFill>
            <w14:solidFill>
              <w14:schemeClr w14:val="tx1"/>
            </w14:solidFill>
          </w14:textFill>
        </w:rPr>
        <w:t>采购项目</w:t>
      </w:r>
    </w:p>
    <w:p w14:paraId="5662C0ED">
      <w:pPr>
        <w:spacing w:line="360" w:lineRule="auto"/>
        <w:jc w:val="center"/>
        <w:rPr>
          <w:rFonts w:cs="宋体"/>
          <w:b/>
          <w:color w:val="000000" w:themeColor="text1"/>
          <w:sz w:val="44"/>
          <w:szCs w:val="44"/>
          <w:highlight w:val="none"/>
          <w14:textFill>
            <w14:solidFill>
              <w14:schemeClr w14:val="tx1"/>
            </w14:solidFill>
          </w14:textFill>
        </w:rPr>
      </w:pPr>
    </w:p>
    <w:p w14:paraId="5C473560">
      <w:pPr>
        <w:spacing w:line="360" w:lineRule="auto"/>
        <w:jc w:val="center"/>
        <w:rPr>
          <w:rFonts w:cs="宋体"/>
          <w:b/>
          <w:color w:val="000000" w:themeColor="text1"/>
          <w:sz w:val="44"/>
          <w:szCs w:val="44"/>
          <w:highlight w:val="none"/>
          <w14:textFill>
            <w14:solidFill>
              <w14:schemeClr w14:val="tx1"/>
            </w14:solidFill>
          </w14:textFill>
        </w:rPr>
      </w:pPr>
    </w:p>
    <w:p w14:paraId="216CD266">
      <w:pPr>
        <w:spacing w:line="360" w:lineRule="auto"/>
        <w:jc w:val="center"/>
        <w:rPr>
          <w:rFonts w:cs="宋体"/>
          <w:b/>
          <w:color w:val="000000" w:themeColor="text1"/>
          <w:sz w:val="72"/>
          <w:szCs w:val="72"/>
          <w:highlight w:val="none"/>
          <w14:textFill>
            <w14:solidFill>
              <w14:schemeClr w14:val="tx1"/>
            </w14:solidFill>
          </w14:textFill>
        </w:rPr>
      </w:pPr>
      <w:r>
        <w:rPr>
          <w:rFonts w:hint="eastAsia" w:cs="宋体"/>
          <w:b/>
          <w:color w:val="000000" w:themeColor="text1"/>
          <w:sz w:val="72"/>
          <w:szCs w:val="72"/>
          <w:highlight w:val="none"/>
          <w14:textFill>
            <w14:solidFill>
              <w14:schemeClr w14:val="tx1"/>
            </w14:solidFill>
          </w14:textFill>
        </w:rPr>
        <w:t>政府采购招标文件</w:t>
      </w:r>
    </w:p>
    <w:p w14:paraId="65220C2F">
      <w:pPr>
        <w:keepNext/>
        <w:spacing w:line="500" w:lineRule="exact"/>
        <w:jc w:val="center"/>
        <w:rPr>
          <w:rFonts w:hint="eastAsia" w:ascii="宋体" w:hAnsi="宋体"/>
          <w:bCs/>
          <w:color w:val="000000" w:themeColor="text1"/>
          <w:sz w:val="44"/>
          <w:szCs w:val="20"/>
          <w:highlight w:val="none"/>
          <w14:textFill>
            <w14:solidFill>
              <w14:schemeClr w14:val="tx1"/>
            </w14:solidFill>
          </w14:textFill>
        </w:rPr>
      </w:pPr>
    </w:p>
    <w:p w14:paraId="4EEB4CA0">
      <w:pPr>
        <w:keepNext/>
        <w:spacing w:line="500" w:lineRule="exact"/>
        <w:jc w:val="center"/>
        <w:rPr>
          <w:rFonts w:hint="eastAsia" w:ascii="宋体" w:hAnsi="宋体" w:eastAsia="宋体"/>
          <w:bCs/>
          <w:color w:val="000000" w:themeColor="text1"/>
          <w:sz w:val="32"/>
          <w:szCs w:val="32"/>
          <w:highlight w:val="none"/>
          <w:lang w:eastAsia="zh-CN"/>
          <w14:textFill>
            <w14:solidFill>
              <w14:schemeClr w14:val="tx1"/>
            </w14:solidFill>
          </w14:textFill>
        </w:rPr>
      </w:pPr>
      <w:bookmarkStart w:id="0" w:name="_Hlk154567591"/>
      <w:r>
        <w:rPr>
          <w:rFonts w:hint="eastAsia" w:ascii="宋体" w:hAnsi="宋体"/>
          <w:bCs/>
          <w:color w:val="000000" w:themeColor="text1"/>
          <w:sz w:val="32"/>
          <w:szCs w:val="32"/>
          <w:highlight w:val="none"/>
          <w14:textFill>
            <w14:solidFill>
              <w14:schemeClr w14:val="tx1"/>
            </w14:solidFill>
          </w14:textFill>
        </w:rPr>
        <w:t>政府采购项目编号：</w:t>
      </w:r>
      <w:bookmarkEnd w:id="0"/>
      <w:r>
        <w:rPr>
          <w:rFonts w:hint="eastAsia" w:ascii="宋体" w:hAnsi="宋体"/>
          <w:bCs/>
          <w:color w:val="000000" w:themeColor="text1"/>
          <w:sz w:val="32"/>
          <w:szCs w:val="32"/>
          <w:highlight w:val="none"/>
          <w:lang w:eastAsia="zh-CN"/>
          <w14:textFill>
            <w14:solidFill>
              <w14:schemeClr w14:val="tx1"/>
            </w14:solidFill>
          </w14:textFill>
        </w:rPr>
        <w:t>JSZC-320600-JSHY-G2025-0450</w:t>
      </w:r>
    </w:p>
    <w:p w14:paraId="1D705EB2">
      <w:pPr>
        <w:spacing w:line="500" w:lineRule="exact"/>
        <w:jc w:val="center"/>
        <w:rPr>
          <w:rFonts w:hint="eastAsia" w:ascii="宋体" w:hAnsi="宋体" w:eastAsia="宋体"/>
          <w:bCs/>
          <w:color w:val="000000" w:themeColor="text1"/>
          <w:sz w:val="32"/>
          <w:szCs w:val="22"/>
          <w:highlight w:val="none"/>
          <w:lang w:eastAsia="zh-CN"/>
          <w14:textFill>
            <w14:solidFill>
              <w14:schemeClr w14:val="tx1"/>
            </w14:solidFill>
          </w14:textFill>
        </w:rPr>
      </w:pPr>
      <w:r>
        <w:rPr>
          <w:rFonts w:hint="eastAsia" w:ascii="宋体" w:hAnsi="宋体"/>
          <w:bCs/>
          <w:color w:val="000000" w:themeColor="text1"/>
          <w:sz w:val="32"/>
          <w:szCs w:val="22"/>
          <w:highlight w:val="none"/>
          <w14:textFill>
            <w14:solidFill>
              <w14:schemeClr w14:val="tx1"/>
            </w14:solidFill>
          </w14:textFill>
        </w:rPr>
        <w:t>采购代理机构文件编号：</w:t>
      </w:r>
      <w:r>
        <w:rPr>
          <w:rFonts w:hint="eastAsia" w:ascii="宋体" w:hAnsi="宋体"/>
          <w:bCs/>
          <w:color w:val="000000" w:themeColor="text1"/>
          <w:sz w:val="32"/>
          <w:szCs w:val="22"/>
          <w:highlight w:val="none"/>
          <w:lang w:eastAsia="zh-CN"/>
          <w14:textFill>
            <w14:solidFill>
              <w14:schemeClr w14:val="tx1"/>
            </w14:solidFill>
          </w14:textFill>
        </w:rPr>
        <w:t>1009-2541HOLLY98N</w:t>
      </w:r>
    </w:p>
    <w:p w14:paraId="434D9C5F">
      <w:pPr>
        <w:spacing w:line="500" w:lineRule="exact"/>
        <w:rPr>
          <w:rFonts w:hint="eastAsia" w:ascii="宋体" w:hAnsi="宋体"/>
          <w:b/>
          <w:color w:val="000000" w:themeColor="text1"/>
          <w:sz w:val="36"/>
          <w:highlight w:val="none"/>
          <w14:textFill>
            <w14:solidFill>
              <w14:schemeClr w14:val="tx1"/>
            </w14:solidFill>
          </w14:textFill>
        </w:rPr>
      </w:pPr>
    </w:p>
    <w:p w14:paraId="7CCA3DD7">
      <w:pPr>
        <w:spacing w:line="500" w:lineRule="exact"/>
        <w:rPr>
          <w:rFonts w:hint="eastAsia" w:ascii="宋体" w:hAnsi="宋体"/>
          <w:color w:val="000000" w:themeColor="text1"/>
          <w:sz w:val="32"/>
          <w:highlight w:val="none"/>
          <w14:textFill>
            <w14:solidFill>
              <w14:schemeClr w14:val="tx1"/>
            </w14:solidFill>
          </w14:textFill>
        </w:rPr>
      </w:pPr>
    </w:p>
    <w:p w14:paraId="576B1A86">
      <w:pPr>
        <w:spacing w:line="500" w:lineRule="exact"/>
        <w:jc w:val="center"/>
        <w:rPr>
          <w:rFonts w:hint="eastAsia" w:ascii="宋体" w:hAnsi="宋体"/>
          <w:color w:val="000000" w:themeColor="text1"/>
          <w:sz w:val="32"/>
          <w:highlight w:val="none"/>
          <w14:textFill>
            <w14:solidFill>
              <w14:schemeClr w14:val="tx1"/>
            </w14:solidFill>
          </w14:textFill>
        </w:rPr>
      </w:pPr>
    </w:p>
    <w:p w14:paraId="400EC6CC">
      <w:pPr>
        <w:spacing w:line="500" w:lineRule="exact"/>
        <w:jc w:val="center"/>
        <w:rPr>
          <w:rFonts w:hint="eastAsia" w:ascii="宋体" w:hAnsi="宋体"/>
          <w:color w:val="000000" w:themeColor="text1"/>
          <w:sz w:val="32"/>
          <w:highlight w:val="none"/>
          <w14:textFill>
            <w14:solidFill>
              <w14:schemeClr w14:val="tx1"/>
            </w14:solidFill>
          </w14:textFill>
        </w:rPr>
      </w:pPr>
    </w:p>
    <w:p w14:paraId="63B62FEA">
      <w:pPr>
        <w:spacing w:before="120" w:after="120" w:line="500" w:lineRule="exact"/>
        <w:ind w:left="-2" w:right="120"/>
        <w:jc w:val="center"/>
        <w:rPr>
          <w:rFonts w:hint="eastAsia" w:ascii="宋体" w:hAnsi="宋体"/>
          <w:b/>
          <w:color w:val="000000" w:themeColor="text1"/>
          <w:spacing w:val="-11"/>
          <w:sz w:val="44"/>
          <w:highlight w:val="none"/>
          <w14:textFill>
            <w14:solidFill>
              <w14:schemeClr w14:val="tx1"/>
            </w14:solidFill>
          </w14:textFill>
        </w:rPr>
      </w:pPr>
      <w:bookmarkStart w:id="1" w:name="EB467128df5f344d64af2c93ecdb42da19"/>
    </w:p>
    <w:p w14:paraId="31D27418">
      <w:pPr>
        <w:spacing w:before="120" w:after="120" w:line="500" w:lineRule="exact"/>
        <w:ind w:left="-2" w:right="120"/>
        <w:jc w:val="center"/>
        <w:rPr>
          <w:rFonts w:hint="eastAsia" w:ascii="宋体" w:hAnsi="宋体"/>
          <w:b/>
          <w:color w:val="000000" w:themeColor="text1"/>
          <w:spacing w:val="-11"/>
          <w:sz w:val="36"/>
          <w:szCs w:val="36"/>
          <w:highlight w:val="none"/>
          <w14:textFill>
            <w14:solidFill>
              <w14:schemeClr w14:val="tx1"/>
            </w14:solidFill>
          </w14:textFill>
        </w:rPr>
      </w:pPr>
      <w:r>
        <w:rPr>
          <w:rFonts w:hint="eastAsia" w:ascii="宋体" w:hAnsi="宋体"/>
          <w:b/>
          <w:color w:val="000000" w:themeColor="text1"/>
          <w:spacing w:val="-11"/>
          <w:sz w:val="36"/>
          <w:szCs w:val="36"/>
          <w:highlight w:val="none"/>
          <w14:textFill>
            <w14:solidFill>
              <w14:schemeClr w14:val="tx1"/>
            </w14:solidFill>
          </w14:textFill>
        </w:rPr>
        <w:t>江苏弘业国际技术工程有限公司</w:t>
      </w:r>
      <w:bookmarkEnd w:id="1"/>
    </w:p>
    <w:p w14:paraId="13611975">
      <w:pPr>
        <w:spacing w:before="120" w:after="120" w:line="500" w:lineRule="exact"/>
        <w:ind w:left="-2" w:right="120"/>
        <w:jc w:val="center"/>
        <w:rPr>
          <w:rFonts w:hint="eastAsia" w:ascii="宋体" w:hAnsi="宋体"/>
          <w:b/>
          <w:bCs/>
          <w:color w:val="000000" w:themeColor="text1"/>
          <w:sz w:val="36"/>
          <w:szCs w:val="36"/>
          <w:highlight w:val="none"/>
          <w:u w:val="single"/>
          <w14:textFill>
            <w14:solidFill>
              <w14:schemeClr w14:val="tx1"/>
            </w14:solidFill>
          </w14:textFill>
        </w:rPr>
      </w:pPr>
    </w:p>
    <w:p w14:paraId="7C57D117">
      <w:pPr>
        <w:spacing w:before="120" w:after="120" w:line="500" w:lineRule="exact"/>
        <w:ind w:left="-2" w:right="120"/>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二〇二五年</w:t>
      </w:r>
      <w:r>
        <w:rPr>
          <w:rFonts w:hint="eastAsia" w:ascii="宋体" w:hAnsi="宋体"/>
          <w:b/>
          <w:bCs/>
          <w:color w:val="000000" w:themeColor="text1"/>
          <w:sz w:val="32"/>
          <w:szCs w:val="32"/>
          <w:highlight w:val="none"/>
          <w:lang w:val="en-US" w:eastAsia="zh-CN"/>
          <w14:textFill>
            <w14:solidFill>
              <w14:schemeClr w14:val="tx1"/>
            </w14:solidFill>
          </w14:textFill>
        </w:rPr>
        <w:t>十一</w:t>
      </w:r>
      <w:r>
        <w:rPr>
          <w:rFonts w:hint="eastAsia" w:ascii="宋体" w:hAnsi="宋体"/>
          <w:b/>
          <w:bCs/>
          <w:color w:val="000000" w:themeColor="text1"/>
          <w:sz w:val="32"/>
          <w:szCs w:val="32"/>
          <w:highlight w:val="none"/>
          <w14:textFill>
            <w14:solidFill>
              <w14:schemeClr w14:val="tx1"/>
            </w14:solidFill>
          </w14:textFill>
        </w:rPr>
        <w:t>月</w:t>
      </w:r>
    </w:p>
    <w:p w14:paraId="764FF31A">
      <w:pPr>
        <w:spacing w:line="360" w:lineRule="auto"/>
        <w:jc w:val="center"/>
        <w:rPr>
          <w:rFonts w:hint="eastAsia" w:ascii="宋体" w:hAnsi="宋体"/>
          <w:color w:val="000000" w:themeColor="text1"/>
          <w:sz w:val="32"/>
          <w:szCs w:val="32"/>
          <w:highlight w:val="none"/>
          <w14:textFill>
            <w14:solidFill>
              <w14:schemeClr w14:val="tx1"/>
            </w14:solidFill>
          </w14:textFill>
        </w:rPr>
      </w:pPr>
    </w:p>
    <w:p w14:paraId="06818748">
      <w:pPr>
        <w:spacing w:line="360" w:lineRule="auto"/>
        <w:jc w:val="center"/>
        <w:rPr>
          <w:rFonts w:hint="eastAsia" w:ascii="宋体" w:hAnsi="宋体"/>
          <w:color w:val="000000" w:themeColor="text1"/>
          <w:sz w:val="32"/>
          <w:szCs w:val="32"/>
          <w:highlight w:val="none"/>
          <w14:textFill>
            <w14:solidFill>
              <w14:schemeClr w14:val="tx1"/>
            </w14:solidFill>
          </w14:textFill>
        </w:rPr>
      </w:pPr>
    </w:p>
    <w:p w14:paraId="5E6FD2BE">
      <w:pP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p>
    <w:p w14:paraId="1BFAB384">
      <w:pPr>
        <w:pStyle w:val="72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 录</w:t>
      </w:r>
    </w:p>
    <w:p w14:paraId="69D152F8">
      <w:pPr>
        <w:spacing w:line="360" w:lineRule="auto"/>
        <w:jc w:val="center"/>
        <w:rPr>
          <w:rFonts w:hint="eastAsia" w:ascii="宋体" w:hAnsi="宋体"/>
          <w:color w:val="000000" w:themeColor="text1"/>
          <w:sz w:val="32"/>
          <w:szCs w:val="32"/>
          <w:highlight w:val="none"/>
          <w14:textFill>
            <w14:solidFill>
              <w14:schemeClr w14:val="tx1"/>
            </w14:solidFill>
          </w14:textFill>
        </w:rPr>
      </w:pPr>
    </w:p>
    <w:p w14:paraId="399A3F89">
      <w:pPr>
        <w:tabs>
          <w:tab w:val="left" w:pos="7740"/>
        </w:tabs>
        <w:spacing w:line="360" w:lineRule="auto"/>
        <w:ind w:firstLine="640"/>
        <w:rPr>
          <w:rFonts w:hint="eastAsia" w:ascii="宋体" w:hAnsi="宋体" w:eastAsia="宋体"/>
          <w:color w:val="000000" w:themeColor="text1"/>
          <w:spacing w:val="2"/>
          <w:sz w:val="32"/>
          <w:szCs w:val="32"/>
          <w:highlight w:val="none"/>
          <w:lang w:eastAsia="zh-CN"/>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第一部分  </w:t>
      </w:r>
      <w:r>
        <w:rPr>
          <w:rFonts w:hint="eastAsia" w:ascii="宋体" w:hAnsi="宋体"/>
          <w:bCs/>
          <w:color w:val="000000" w:themeColor="text1"/>
          <w:sz w:val="32"/>
          <w:szCs w:val="32"/>
          <w:highlight w:val="none"/>
          <w:lang w:eastAsia="zh-CN"/>
          <w14:textFill>
            <w14:solidFill>
              <w14:schemeClr w14:val="tx1"/>
            </w14:solidFill>
          </w14:textFill>
        </w:rPr>
        <w:t>招标公告</w:t>
      </w:r>
    </w:p>
    <w:p w14:paraId="0C2B4612">
      <w:pPr>
        <w:tabs>
          <w:tab w:val="left" w:pos="7740"/>
        </w:tabs>
        <w:spacing w:line="360" w:lineRule="auto"/>
        <w:ind w:firstLine="640"/>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第二部分  投标须知</w:t>
      </w:r>
    </w:p>
    <w:p w14:paraId="799A8C6A">
      <w:pPr>
        <w:tabs>
          <w:tab w:val="left" w:pos="7740"/>
        </w:tabs>
        <w:spacing w:line="360" w:lineRule="auto"/>
        <w:ind w:firstLine="640"/>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第三部分  项目需求</w:t>
      </w:r>
    </w:p>
    <w:p w14:paraId="35D9FA20">
      <w:pPr>
        <w:tabs>
          <w:tab w:val="left" w:pos="7740"/>
        </w:tabs>
        <w:spacing w:line="360" w:lineRule="auto"/>
        <w:ind w:firstLine="640"/>
        <w:rPr>
          <w:rFonts w:hint="eastAsia" w:ascii="宋体" w:hAnsi="宋体"/>
          <w:bCs/>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第四部分  </w:t>
      </w:r>
      <w:r>
        <w:rPr>
          <w:rFonts w:hint="eastAsia" w:ascii="宋体" w:hAnsi="宋体"/>
          <w:bCs/>
          <w:color w:val="000000" w:themeColor="text1"/>
          <w:sz w:val="32"/>
          <w:szCs w:val="32"/>
          <w:highlight w:val="none"/>
          <w14:textFill>
            <w14:solidFill>
              <w14:schemeClr w14:val="tx1"/>
            </w14:solidFill>
          </w14:textFill>
        </w:rPr>
        <w:t>开标和评标</w:t>
      </w:r>
    </w:p>
    <w:p w14:paraId="0576ABAE">
      <w:pPr>
        <w:tabs>
          <w:tab w:val="left" w:pos="7740"/>
        </w:tabs>
        <w:spacing w:line="360" w:lineRule="auto"/>
        <w:ind w:firstLine="640"/>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第五部分 </w:t>
      </w:r>
      <w:r>
        <w:rPr>
          <w:rFonts w:ascii="宋体" w:hAnsi="宋体"/>
          <w:bCs/>
          <w:color w:val="000000" w:themeColor="text1"/>
          <w:sz w:val="32"/>
          <w:szCs w:val="32"/>
          <w:highlight w:val="none"/>
          <w14:textFill>
            <w14:solidFill>
              <w14:schemeClr w14:val="tx1"/>
            </w14:solidFill>
          </w14:textFill>
        </w:rPr>
        <w:t xml:space="preserve"> </w:t>
      </w:r>
      <w:r>
        <w:rPr>
          <w:rFonts w:hint="eastAsia" w:ascii="宋体" w:hAnsi="宋体"/>
          <w:bCs/>
          <w:color w:val="000000" w:themeColor="text1"/>
          <w:sz w:val="32"/>
          <w:szCs w:val="32"/>
          <w:highlight w:val="none"/>
          <w14:textFill>
            <w14:solidFill>
              <w14:schemeClr w14:val="tx1"/>
            </w14:solidFill>
          </w14:textFill>
        </w:rPr>
        <w:t>合同格式</w:t>
      </w:r>
    </w:p>
    <w:p w14:paraId="2DE2F403">
      <w:pPr>
        <w:tabs>
          <w:tab w:val="left" w:pos="7740"/>
        </w:tabs>
        <w:spacing w:line="360" w:lineRule="auto"/>
        <w:ind w:firstLine="640"/>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第六部分  投标文件组成</w:t>
      </w:r>
    </w:p>
    <w:p w14:paraId="079C4F57">
      <w:pPr>
        <w:pStyle w:val="725"/>
        <w:tabs>
          <w:tab w:val="left" w:pos="0"/>
        </w:tabs>
        <w:rPr>
          <w:color w:val="000000" w:themeColor="text1"/>
          <w:highlight w:val="none"/>
          <w14:textFill>
            <w14:solidFill>
              <w14:schemeClr w14:val="tx1"/>
            </w14:solidFill>
          </w14:textFill>
        </w:rPr>
        <w:sectPr>
          <w:headerReference r:id="rId3" w:type="default"/>
          <w:pgSz w:w="11906" w:h="16838"/>
          <w:pgMar w:top="1440" w:right="1701" w:bottom="1440" w:left="1701" w:header="851" w:footer="992" w:gutter="0"/>
          <w:cols w:space="1701" w:num="1"/>
          <w:docGrid w:linePitch="360" w:charSpace="0"/>
        </w:sectPr>
      </w:pPr>
    </w:p>
    <w:p w14:paraId="2EB5A67B">
      <w:pPr>
        <w:pStyle w:val="725"/>
        <w:tabs>
          <w:tab w:val="left" w:pos="0"/>
        </w:tabs>
        <w:rPr>
          <w:rFonts w:hint="eastAsia" w:eastAsia="黑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第一部分  </w:t>
      </w:r>
      <w:bookmarkStart w:id="2" w:name="OLE_LINK5"/>
      <w:bookmarkStart w:id="3" w:name="OLE_LINK7"/>
      <w:r>
        <w:rPr>
          <w:rFonts w:hint="eastAsia"/>
          <w:color w:val="000000" w:themeColor="text1"/>
          <w:highlight w:val="none"/>
          <w:lang w:eastAsia="zh-CN"/>
          <w14:textFill>
            <w14:solidFill>
              <w14:schemeClr w14:val="tx1"/>
            </w14:solidFill>
          </w14:textFill>
        </w:rPr>
        <w:t>招标公告</w:t>
      </w:r>
    </w:p>
    <w:p w14:paraId="456FE669">
      <w:pPr>
        <w:pStyle w:val="3"/>
        <w:pBdr>
          <w:top w:val="single" w:color="000000" w:sz="4" w:space="1"/>
          <w:left w:val="single" w:color="000000" w:sz="4" w:space="4"/>
          <w:bottom w:val="single" w:color="000000" w:sz="4" w:space="1"/>
          <w:right w:val="single" w:color="000000" w:sz="4" w:space="4"/>
        </w:pBdr>
        <w:ind w:firstLine="480"/>
        <w:rPr>
          <w:color w:val="000000" w:themeColor="text1"/>
          <w:highlight w:val="none"/>
          <w14:textFill>
            <w14:solidFill>
              <w14:schemeClr w14:val="tx1"/>
            </w14:solidFill>
          </w14:textFill>
        </w:rPr>
      </w:pPr>
      <w:bookmarkStart w:id="4" w:name="OLE_LINK1"/>
      <w:bookmarkStart w:id="5" w:name="OLE_LINK6"/>
      <w:r>
        <w:rPr>
          <w:color w:val="000000" w:themeColor="text1"/>
          <w:highlight w:val="none"/>
          <w14:textFill>
            <w14:solidFill>
              <w14:schemeClr w14:val="tx1"/>
            </w14:solidFill>
          </w14:textFill>
        </w:rPr>
        <w:t>项目概况</w:t>
      </w:r>
    </w:p>
    <w:p w14:paraId="38EC8768">
      <w:pPr>
        <w:pStyle w:val="3"/>
        <w:pBdr>
          <w:top w:val="single" w:color="000000" w:sz="4" w:space="1"/>
          <w:left w:val="single" w:color="000000" w:sz="4" w:space="4"/>
          <w:bottom w:val="single" w:color="000000" w:sz="4" w:space="1"/>
          <w:right w:val="single" w:color="000000" w:sz="4" w:space="4"/>
        </w:pBdr>
        <w:ind w:firstLine="480"/>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南通大学附属医院</w:t>
      </w:r>
      <w:r>
        <w:rPr>
          <w:rFonts w:hint="eastAsia"/>
          <w:color w:val="000000" w:themeColor="text1"/>
          <w:highlight w:val="none"/>
          <w:u w:val="single"/>
          <w:lang w:eastAsia="zh-CN"/>
          <w14:textFill>
            <w14:solidFill>
              <w14:schemeClr w14:val="tx1"/>
            </w14:solidFill>
          </w14:textFill>
        </w:rPr>
        <w:t>流式细胞仪</w:t>
      </w:r>
      <w:r>
        <w:rPr>
          <w:rFonts w:hint="eastAsia"/>
          <w:color w:val="000000" w:themeColor="text1"/>
          <w:highlight w:val="none"/>
          <w:u w:val="single"/>
          <w14:textFill>
            <w14:solidFill>
              <w14:schemeClr w14:val="tx1"/>
            </w14:solidFill>
          </w14:textFill>
        </w:rPr>
        <w:t>采购项目</w:t>
      </w:r>
      <w:r>
        <w:rPr>
          <w:color w:val="000000" w:themeColor="text1"/>
          <w:highlight w:val="none"/>
          <w14:textFill>
            <w14:solidFill>
              <w14:schemeClr w14:val="tx1"/>
            </w14:solidFill>
          </w14:textFill>
        </w:rPr>
        <w:t>的潜在投标人应在</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苏采云</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系统</w:t>
      </w:r>
      <w:r>
        <w:rPr>
          <w:color w:val="000000" w:themeColor="text1"/>
          <w:highlight w:val="none"/>
          <w14:textFill>
            <w14:solidFill>
              <w14:schemeClr w14:val="tx1"/>
            </w14:solidFill>
          </w14:textFill>
        </w:rPr>
        <w:t>获取招标文件，并于</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12</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18</w:t>
      </w:r>
      <w:r>
        <w:rPr>
          <w:color w:val="000000" w:themeColor="text1"/>
          <w:highlight w:val="none"/>
          <w:u w:val="single"/>
          <w14:textFill>
            <w14:solidFill>
              <w14:schemeClr w14:val="tx1"/>
            </w14:solidFill>
          </w14:textFill>
        </w:rPr>
        <w:t>日9点</w:t>
      </w:r>
      <w:r>
        <w:rPr>
          <w:rFonts w:hint="eastAsia"/>
          <w:color w:val="000000" w:themeColor="text1"/>
          <w:highlight w:val="none"/>
          <w:u w:val="single"/>
          <w:lang w:val="en-US" w:eastAsia="zh-CN"/>
          <w14:textFill>
            <w14:solidFill>
              <w14:schemeClr w14:val="tx1"/>
            </w14:solidFill>
          </w14:textFill>
        </w:rPr>
        <w:t>3</w:t>
      </w:r>
      <w:r>
        <w:rPr>
          <w:color w:val="000000" w:themeColor="text1"/>
          <w:highlight w:val="none"/>
          <w:u w:val="single"/>
          <w14:textFill>
            <w14:solidFill>
              <w14:schemeClr w14:val="tx1"/>
            </w14:solidFill>
          </w14:textFill>
        </w:rPr>
        <w:t>0分</w:t>
      </w:r>
      <w:r>
        <w:rPr>
          <w:color w:val="000000" w:themeColor="text1"/>
          <w:highlight w:val="none"/>
          <w14:textFill>
            <w14:solidFill>
              <w14:schemeClr w14:val="tx1"/>
            </w14:solidFill>
          </w14:textFill>
        </w:rPr>
        <w:t>（北京时间）前递交投标文件。</w:t>
      </w:r>
    </w:p>
    <w:p w14:paraId="4D13CFF4">
      <w:pPr>
        <w:pStyle w:val="4"/>
        <w:numPr>
          <w:ilvl w:val="0"/>
          <w:numId w:val="4"/>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项目基本情况</w:t>
      </w:r>
    </w:p>
    <w:p w14:paraId="3A34AFF3">
      <w:pPr>
        <w:pStyle w:val="3"/>
        <w:numPr>
          <w:ilvl w:val="0"/>
          <w:numId w:val="5"/>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color w:val="000000" w:themeColor="text1"/>
          <w:highlight w:val="none"/>
          <w:lang w:eastAsia="zh-CN"/>
          <w14:textFill>
            <w14:solidFill>
              <w14:schemeClr w14:val="tx1"/>
            </w14:solidFill>
          </w14:textFill>
        </w:rPr>
        <w:t>JSZC-320600-JSHY-G2025-0450</w:t>
      </w:r>
    </w:p>
    <w:p w14:paraId="77DD475C">
      <w:pPr>
        <w:pStyle w:val="3"/>
        <w:numPr>
          <w:ilvl w:val="0"/>
          <w:numId w:val="5"/>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color w:val="000000" w:themeColor="text1"/>
          <w:highlight w:val="none"/>
          <w14:textFill>
            <w14:solidFill>
              <w14:schemeClr w14:val="tx1"/>
            </w14:solidFill>
          </w14:textFill>
        </w:rPr>
        <w:t>南通大学附属医院</w:t>
      </w:r>
      <w:r>
        <w:rPr>
          <w:rFonts w:hint="eastAsia"/>
          <w:color w:val="000000" w:themeColor="text1"/>
          <w:highlight w:val="none"/>
          <w:lang w:eastAsia="zh-CN"/>
          <w14:textFill>
            <w14:solidFill>
              <w14:schemeClr w14:val="tx1"/>
            </w14:solidFill>
          </w14:textFill>
        </w:rPr>
        <w:t>流式细胞仪</w:t>
      </w:r>
      <w:r>
        <w:rPr>
          <w:rFonts w:hint="eastAsia"/>
          <w:color w:val="000000" w:themeColor="text1"/>
          <w:highlight w:val="none"/>
          <w14:textFill>
            <w14:solidFill>
              <w14:schemeClr w14:val="tx1"/>
            </w14:solidFill>
          </w14:textFill>
        </w:rPr>
        <w:t>采购项目</w:t>
      </w:r>
    </w:p>
    <w:p w14:paraId="1903D8E4">
      <w:pPr>
        <w:pStyle w:val="3"/>
        <w:numPr>
          <w:ilvl w:val="0"/>
          <w:numId w:val="5"/>
        </w:numPr>
        <w:tabs>
          <w:tab w:val="left" w:pos="780"/>
          <w:tab w:val="clear" w:pos="210"/>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预算金额</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100万元</w:t>
      </w:r>
    </w:p>
    <w:p w14:paraId="37EA55C5">
      <w:pPr>
        <w:pStyle w:val="3"/>
        <w:numPr>
          <w:ilvl w:val="0"/>
          <w:numId w:val="5"/>
        </w:numPr>
        <w:tabs>
          <w:tab w:val="left" w:pos="780"/>
          <w:tab w:val="clear" w:pos="210"/>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最高限价（如有）：60万元（供应商投标报价不得超过上述限价金额，否则将作无效标处理）</w:t>
      </w:r>
    </w:p>
    <w:p w14:paraId="7CA4CAD8">
      <w:pPr>
        <w:pStyle w:val="3"/>
        <w:numPr>
          <w:ilvl w:val="0"/>
          <w:numId w:val="5"/>
        </w:numPr>
        <w:tabs>
          <w:tab w:val="left" w:pos="780"/>
          <w:tab w:val="clear" w:pos="210"/>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采购需求：</w:t>
      </w:r>
    </w:p>
    <w:tbl>
      <w:tblPr>
        <w:tblStyle w:val="62"/>
        <w:tblW w:w="8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0" w:type="dxa"/>
          <w:left w:w="102" w:type="dxa"/>
          <w:bottom w:w="80" w:type="dxa"/>
          <w:right w:w="102" w:type="dxa"/>
        </w:tblCellMar>
      </w:tblPr>
      <w:tblGrid>
        <w:gridCol w:w="798"/>
        <w:gridCol w:w="2280"/>
        <w:gridCol w:w="798"/>
        <w:gridCol w:w="2414"/>
        <w:gridCol w:w="2415"/>
      </w:tblGrid>
      <w:tr w14:paraId="694E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tblHeader/>
          <w:jc w:val="center"/>
        </w:trPr>
        <w:tc>
          <w:tcPr>
            <w:tcW w:w="798" w:type="dxa"/>
            <w:noWrap w:val="0"/>
            <w:vAlign w:val="center"/>
          </w:tcPr>
          <w:p w14:paraId="5B9EE59E">
            <w:pPr>
              <w:snapToGrid w:val="0"/>
              <w:spacing w:line="360" w:lineRule="auto"/>
              <w:jc w:val="center"/>
              <w:rPr>
                <w:rFonts w:hint="eastAsia" w:hAnsi="宋体" w:eastAsia="宋体"/>
                <w:b/>
                <w:color w:val="000000" w:themeColor="text1"/>
                <w:position w:val="0"/>
                <w:szCs w:val="21"/>
                <w:highlight w:val="none"/>
                <w:lang w:eastAsia="zh-CN"/>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包号</w:t>
            </w:r>
          </w:p>
        </w:tc>
        <w:tc>
          <w:tcPr>
            <w:tcW w:w="2280" w:type="dxa"/>
            <w:noWrap w:val="0"/>
            <w:vAlign w:val="center"/>
          </w:tcPr>
          <w:p w14:paraId="29A0CC53">
            <w:pPr>
              <w:snapToGrid w:val="0"/>
              <w:spacing w:line="360" w:lineRule="auto"/>
              <w:jc w:val="center"/>
              <w:rPr>
                <w:rFonts w:hint="eastAsia" w:hAnsi="宋体" w:eastAsia="宋体"/>
                <w:b/>
                <w:color w:val="000000" w:themeColor="text1"/>
                <w:position w:val="0"/>
                <w:szCs w:val="21"/>
                <w:highlight w:val="none"/>
                <w:lang w:eastAsia="zh-CN"/>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项目名称</w:t>
            </w:r>
          </w:p>
        </w:tc>
        <w:tc>
          <w:tcPr>
            <w:tcW w:w="798" w:type="dxa"/>
            <w:noWrap w:val="0"/>
            <w:vAlign w:val="center"/>
          </w:tcPr>
          <w:p w14:paraId="3E40AFBF">
            <w:pPr>
              <w:snapToGrid w:val="0"/>
              <w:spacing w:line="360" w:lineRule="auto"/>
              <w:jc w:val="center"/>
              <w:rPr>
                <w:rFonts w:hint="eastAsia" w:hAnsi="宋体" w:eastAsia="宋体"/>
                <w:b/>
                <w:color w:val="000000" w:themeColor="text1"/>
                <w:position w:val="0"/>
                <w:szCs w:val="21"/>
                <w:highlight w:val="none"/>
                <w:lang w:eastAsia="zh-CN"/>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数量</w:t>
            </w:r>
          </w:p>
        </w:tc>
        <w:tc>
          <w:tcPr>
            <w:tcW w:w="2414" w:type="dxa"/>
            <w:noWrap w:val="0"/>
            <w:vAlign w:val="center"/>
          </w:tcPr>
          <w:p w14:paraId="22D618BE">
            <w:pPr>
              <w:snapToGrid w:val="0"/>
              <w:spacing w:line="360" w:lineRule="auto"/>
              <w:jc w:val="center"/>
              <w:rPr>
                <w:rFonts w:hint="eastAsia" w:hAnsi="宋体" w:eastAsia="宋体"/>
                <w:b/>
                <w:color w:val="000000" w:themeColor="text1"/>
                <w:position w:val="0"/>
                <w:szCs w:val="21"/>
                <w:highlight w:val="none"/>
                <w:lang w:eastAsia="zh-CN"/>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预算金额（万元）</w:t>
            </w:r>
          </w:p>
        </w:tc>
        <w:tc>
          <w:tcPr>
            <w:tcW w:w="2415" w:type="dxa"/>
            <w:noWrap w:val="0"/>
            <w:vAlign w:val="center"/>
          </w:tcPr>
          <w:p w14:paraId="58E87212">
            <w:pPr>
              <w:snapToGrid w:val="0"/>
              <w:spacing w:line="360" w:lineRule="auto"/>
              <w:jc w:val="center"/>
              <w:rPr>
                <w:rFonts w:hint="eastAsia" w:hAnsi="宋体"/>
                <w:b/>
                <w:color w:val="000000" w:themeColor="text1"/>
                <w:position w:val="0"/>
                <w:szCs w:val="21"/>
                <w:highlight w:val="none"/>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最高限价（万元）</w:t>
            </w:r>
          </w:p>
        </w:tc>
      </w:tr>
      <w:tr w14:paraId="42E2B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jc w:val="center"/>
        </w:trPr>
        <w:tc>
          <w:tcPr>
            <w:tcW w:w="798" w:type="dxa"/>
            <w:noWrap w:val="0"/>
            <w:vAlign w:val="center"/>
          </w:tcPr>
          <w:p w14:paraId="31F2D354">
            <w:pPr>
              <w:snapToGrid w:val="0"/>
              <w:spacing w:line="360" w:lineRule="auto"/>
              <w:jc w:val="center"/>
              <w:rPr>
                <w:rFonts w:hint="eastAsia" w:hAnsi="宋体"/>
                <w:b w:val="0"/>
                <w:color w:val="000000" w:themeColor="text1"/>
                <w:position w:val="0"/>
                <w:szCs w:val="21"/>
                <w:highlight w:val="none"/>
                <w14:textFill>
                  <w14:solidFill>
                    <w14:schemeClr w14:val="tx1"/>
                  </w14:solidFill>
                </w14:textFill>
              </w:rPr>
            </w:pPr>
            <w:r>
              <w:rPr>
                <w:rFonts w:hAnsi="宋体"/>
                <w:b w:val="0"/>
                <w:color w:val="000000" w:themeColor="text1"/>
                <w:position w:val="0"/>
                <w:szCs w:val="21"/>
                <w:highlight w:val="none"/>
                <w14:textFill>
                  <w14:solidFill>
                    <w14:schemeClr w14:val="tx1"/>
                  </w14:solidFill>
                </w14:textFill>
              </w:rPr>
              <w:t>1</w:t>
            </w:r>
          </w:p>
        </w:tc>
        <w:tc>
          <w:tcPr>
            <w:tcW w:w="2280" w:type="dxa"/>
            <w:noWrap w:val="0"/>
            <w:vAlign w:val="center"/>
          </w:tcPr>
          <w:p w14:paraId="4514D537">
            <w:pPr>
              <w:snapToGrid w:val="0"/>
              <w:jc w:val="center"/>
              <w:rPr>
                <w:rFonts w:hint="eastAsia" w:hAnsi="宋体"/>
                <w:b w:val="0"/>
                <w:color w:val="000000" w:themeColor="text1"/>
                <w:position w:val="0"/>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流式细胞仪</w:t>
            </w:r>
          </w:p>
        </w:tc>
        <w:tc>
          <w:tcPr>
            <w:tcW w:w="798" w:type="dxa"/>
            <w:noWrap w:val="0"/>
            <w:vAlign w:val="center"/>
          </w:tcPr>
          <w:p w14:paraId="11FC7DD3">
            <w:pPr>
              <w:snapToGrid w:val="0"/>
              <w:jc w:val="center"/>
              <w:rPr>
                <w:rFonts w:hint="default" w:hAnsi="宋体"/>
                <w:b w:val="0"/>
                <w:color w:val="000000" w:themeColor="text1"/>
                <w:position w:val="0"/>
                <w:szCs w:val="21"/>
                <w:highlight w:val="none"/>
                <w:lang w:val="en-US"/>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1套</w:t>
            </w:r>
          </w:p>
        </w:tc>
        <w:tc>
          <w:tcPr>
            <w:tcW w:w="2414" w:type="dxa"/>
            <w:noWrap w:val="0"/>
            <w:vAlign w:val="center"/>
          </w:tcPr>
          <w:p w14:paraId="414FB3A3">
            <w:pPr>
              <w:snapToGrid w:val="0"/>
              <w:jc w:val="center"/>
              <w:rPr>
                <w:rFonts w:hint="default" w:hAnsi="宋体"/>
                <w:b w:val="0"/>
                <w:color w:val="000000" w:themeColor="text1"/>
                <w:position w:val="0"/>
                <w:szCs w:val="21"/>
                <w:highlight w:val="none"/>
                <w:lang w:val="en-US"/>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100</w:t>
            </w:r>
          </w:p>
        </w:tc>
        <w:tc>
          <w:tcPr>
            <w:tcW w:w="2415" w:type="dxa"/>
            <w:noWrap w:val="0"/>
            <w:vAlign w:val="center"/>
          </w:tcPr>
          <w:p w14:paraId="64EB97E8">
            <w:pPr>
              <w:snapToGrid w:val="0"/>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60</w:t>
            </w:r>
          </w:p>
        </w:tc>
      </w:tr>
    </w:tbl>
    <w:p w14:paraId="31140182">
      <w:pPr>
        <w:rPr>
          <w:color w:val="000000" w:themeColor="text1"/>
          <w:highlight w:val="none"/>
          <w14:textFill>
            <w14:solidFill>
              <w14:schemeClr w14:val="tx1"/>
            </w14:solidFill>
          </w14:textFill>
        </w:rPr>
      </w:pPr>
    </w:p>
    <w:p w14:paraId="737B5EA6">
      <w:pPr>
        <w:pStyle w:val="3"/>
        <w:numPr>
          <w:ilvl w:val="0"/>
          <w:numId w:val="5"/>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lang w:val="en-US" w:eastAsia="zh-CN"/>
          <w14:textFill>
            <w14:solidFill>
              <w14:schemeClr w14:val="tx1"/>
            </w14:solidFill>
          </w14:textFill>
        </w:rPr>
        <w:t>详见项目需求</w:t>
      </w:r>
    </w:p>
    <w:p w14:paraId="296307A3">
      <w:pPr>
        <w:pStyle w:val="3"/>
        <w:numPr>
          <w:ilvl w:val="0"/>
          <w:numId w:val="5"/>
        </w:numPr>
        <w:pBdr>
          <w:top w:val="none" w:color="000000" w:sz="0" w:space="0"/>
          <w:left w:val="none" w:color="000000" w:sz="0" w:space="0"/>
          <w:bottom w:val="none" w:color="000000" w:sz="0" w:space="0"/>
          <w:right w:val="none" w:color="000000" w:sz="0" w:space="0"/>
        </w:pBd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本项目（是/否）接受联合体投标：否</w:t>
      </w:r>
    </w:p>
    <w:p w14:paraId="5E907078">
      <w:pPr>
        <w:pStyle w:val="4"/>
        <w:numPr>
          <w:ilvl w:val="0"/>
          <w:numId w:val="4"/>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申请人的资格要求：</w:t>
      </w:r>
    </w:p>
    <w:p w14:paraId="53DBD6E7">
      <w:pPr>
        <w:pStyle w:val="5"/>
        <w:numPr>
          <w:ilvl w:val="0"/>
          <w:numId w:val="6"/>
        </w:numPr>
        <w:tabs>
          <w:tab w:val="left" w:pos="1202"/>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满足《中华人民共和国政府采购法》第二十二条规定</w:t>
      </w:r>
      <w:r>
        <w:rPr>
          <w:rFonts w:hint="eastAsia"/>
          <w:color w:val="000000" w:themeColor="text1"/>
          <w:highlight w:val="none"/>
          <w:lang w:eastAsia="zh-CN"/>
          <w14:textFill>
            <w14:solidFill>
              <w14:schemeClr w14:val="tx1"/>
            </w14:solidFill>
          </w14:textFill>
        </w:rPr>
        <w:t>：</w:t>
      </w:r>
    </w:p>
    <w:p w14:paraId="26BFC47E">
      <w:pPr>
        <w:pStyle w:val="3"/>
        <w:numPr>
          <w:ilvl w:val="0"/>
          <w:numId w:val="7"/>
        </w:numPr>
        <w:tabs>
          <w:tab w:val="left" w:pos="780"/>
          <w:tab w:val="clear" w:pos="210"/>
        </w:tabs>
        <w:rPr>
          <w:color w:val="000000" w:themeColor="text1"/>
          <w:highlight w:val="none"/>
          <w14:textFill>
            <w14:solidFill>
              <w14:schemeClr w14:val="tx1"/>
            </w14:solidFill>
          </w14:textFill>
        </w:rPr>
      </w:pPr>
      <w:bookmarkStart w:id="6" w:name="OLE_LINK2"/>
      <w:r>
        <w:rPr>
          <w:color w:val="000000" w:themeColor="text1"/>
          <w:highlight w:val="none"/>
          <w14:textFill>
            <w14:solidFill>
              <w14:schemeClr w14:val="tx1"/>
            </w14:solidFill>
          </w14:textFill>
        </w:rPr>
        <w:t>具有独立承担民事责任的能力；（提供法人或者其他组织的营业执照等证明文件，自然人的身份证明）</w:t>
      </w:r>
      <w:bookmarkEnd w:id="6"/>
    </w:p>
    <w:p w14:paraId="40781F02">
      <w:pPr>
        <w:pStyle w:val="3"/>
        <w:numPr>
          <w:ilvl w:val="0"/>
          <w:numId w:val="7"/>
        </w:numPr>
        <w:tabs>
          <w:tab w:val="left" w:pos="780"/>
          <w:tab w:val="clear" w:pos="210"/>
        </w:tabs>
        <w:rPr>
          <w:color w:val="000000" w:themeColor="text1"/>
          <w:highlight w:val="none"/>
          <w14:textFill>
            <w14:solidFill>
              <w14:schemeClr w14:val="tx1"/>
            </w14:solidFill>
          </w14:textFill>
        </w:rPr>
      </w:pPr>
      <w:bookmarkStart w:id="7" w:name="OLE_LINK3"/>
      <w:r>
        <w:rPr>
          <w:color w:val="000000" w:themeColor="text1"/>
          <w:highlight w:val="none"/>
          <w14:textFill>
            <w14:solidFill>
              <w14:schemeClr w14:val="tx1"/>
            </w14:solidFill>
          </w14:textFill>
        </w:rPr>
        <w:t>具有良好的商业信誉和健全的财务会计制度；（提供上一年度的财务状况报告，成立不满一年不需提供）</w:t>
      </w:r>
      <w:bookmarkEnd w:id="7"/>
    </w:p>
    <w:p w14:paraId="46776D8D">
      <w:pPr>
        <w:pStyle w:val="3"/>
        <w:numPr>
          <w:ilvl w:val="0"/>
          <w:numId w:val="7"/>
        </w:numPr>
        <w:tabs>
          <w:tab w:val="left" w:pos="780"/>
          <w:tab w:val="clear" w:pos="210"/>
        </w:tabs>
        <w:rPr>
          <w:color w:val="000000" w:themeColor="text1"/>
          <w:highlight w:val="none"/>
          <w14:textFill>
            <w14:solidFill>
              <w14:schemeClr w14:val="tx1"/>
            </w14:solidFill>
          </w14:textFill>
        </w:rPr>
      </w:pPr>
      <w:bookmarkStart w:id="8" w:name="OLE_LINK4"/>
      <w:r>
        <w:rPr>
          <w:color w:val="000000" w:themeColor="text1"/>
          <w:highlight w:val="none"/>
          <w14:textFill>
            <w14:solidFill>
              <w14:schemeClr w14:val="tx1"/>
            </w14:solidFill>
          </w14:textFill>
        </w:rPr>
        <w:t>有依法缴纳税收和社会保障资金的良好记录；</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依法纳税凭据：提供参加政府采购活动</w:t>
      </w:r>
      <w:r>
        <w:rPr>
          <w:rFonts w:hint="eastAsia"/>
          <w:color w:val="000000" w:themeColor="text1"/>
          <w:highlight w:val="none"/>
          <w:lang w:eastAsia="zh-CN"/>
          <w14:textFill>
            <w14:solidFill>
              <w14:schemeClr w14:val="tx1"/>
            </w14:solidFill>
          </w14:textFill>
        </w:rPr>
        <w:t>前6个月内任意一个月</w:t>
      </w:r>
      <w:r>
        <w:rPr>
          <w:rFonts w:hint="eastAsia"/>
          <w:color w:val="000000" w:themeColor="text1"/>
          <w:highlight w:val="none"/>
          <w14:textFill>
            <w14:solidFill>
              <w14:schemeClr w14:val="tx1"/>
            </w14:solidFill>
          </w14:textFill>
        </w:rPr>
        <w:t>依法纳税的凭据，如完税凭证或税务机关开具的完税证明</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个人所得税除外）</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缴纳社会保险的凭据：提供参加政府采购活动</w:t>
      </w:r>
      <w:r>
        <w:rPr>
          <w:rFonts w:hint="eastAsia"/>
          <w:color w:val="000000" w:themeColor="text1"/>
          <w:highlight w:val="none"/>
          <w:lang w:eastAsia="zh-CN"/>
          <w14:textFill>
            <w14:solidFill>
              <w14:schemeClr w14:val="tx1"/>
            </w14:solidFill>
          </w14:textFill>
        </w:rPr>
        <w:t>前6个月内任意一个月</w:t>
      </w:r>
      <w:r>
        <w:rPr>
          <w:rFonts w:hint="eastAsia"/>
          <w:color w:val="000000" w:themeColor="text1"/>
          <w:highlight w:val="none"/>
          <w14:textFill>
            <w14:solidFill>
              <w14:schemeClr w14:val="tx1"/>
            </w14:solidFill>
          </w14:textFill>
        </w:rPr>
        <w:t>缴纳社会保险的凭据，如专用收据或社会保险缴纳清单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依法免税或不需要缴纳社会保障资金的证明文件</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如果供应商依法免税或不需要缴纳社会保障资金，则须提供相应的证明文件，以说明其免税或无需缴纳的依据和情况</w:t>
      </w:r>
      <w:bookmarkEnd w:id="8"/>
      <w:r>
        <w:rPr>
          <w:rFonts w:hint="eastAsia"/>
          <w:color w:val="000000" w:themeColor="text1"/>
          <w:highlight w:val="none"/>
          <w:lang w:val="en-US" w:eastAsia="zh-CN"/>
          <w14:textFill>
            <w14:solidFill>
              <w14:schemeClr w14:val="tx1"/>
            </w14:solidFill>
          </w14:textFill>
        </w:rPr>
        <w:t>]</w:t>
      </w:r>
    </w:p>
    <w:p w14:paraId="47404BD3">
      <w:pPr>
        <w:pStyle w:val="3"/>
        <w:numPr>
          <w:ilvl w:val="0"/>
          <w:numId w:val="7"/>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具有履行合同所必需的设备和专业技术能力；（提供书面声明）</w:t>
      </w:r>
    </w:p>
    <w:p w14:paraId="7EF2A148">
      <w:pPr>
        <w:pStyle w:val="3"/>
        <w:numPr>
          <w:ilvl w:val="0"/>
          <w:numId w:val="7"/>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参加政府采购活动前3年内在经营活动中没有重大违法记录</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（提供书面声明）</w:t>
      </w:r>
    </w:p>
    <w:p w14:paraId="48C41915">
      <w:pPr>
        <w:pStyle w:val="3"/>
        <w:numPr>
          <w:ilvl w:val="0"/>
          <w:numId w:val="7"/>
        </w:numPr>
        <w:tabs>
          <w:tab w:val="left" w:pos="780"/>
          <w:tab w:val="clear" w:pos="210"/>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满足</w:t>
      </w:r>
      <w:r>
        <w:rPr>
          <w:rFonts w:hint="eastAsia"/>
          <w:color w:val="000000" w:themeColor="text1"/>
          <w:highlight w:val="none"/>
          <w14:textFill>
            <w14:solidFill>
              <w14:schemeClr w14:val="tx1"/>
            </w14:solidFill>
          </w14:textFill>
        </w:rPr>
        <w:t>法律、行政法规规定的其他条件</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（提供书面声明）</w:t>
      </w:r>
    </w:p>
    <w:p w14:paraId="238ADE38">
      <w:pPr>
        <w:pStyle w:val="5"/>
        <w:numPr>
          <w:ilvl w:val="0"/>
          <w:numId w:val="6"/>
        </w:numPr>
        <w:tabs>
          <w:tab w:val="left" w:pos="1202"/>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落实政府采购政策需满足的资格要求：</w:t>
      </w:r>
    </w:p>
    <w:p w14:paraId="642B41EA">
      <w:pPr>
        <w:pStyle w:val="3"/>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本项目为非专门面向中小微企业项目，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小型、微型企业制造货物的投标人须提供中小企业声明函方可享受扶持政策，格式见招标文件）</w:t>
      </w:r>
      <w:r>
        <w:rPr>
          <w:rFonts w:hint="eastAsia"/>
          <w:color w:val="000000" w:themeColor="text1"/>
          <w:highlight w:val="none"/>
          <w:lang w:eastAsia="zh-CN"/>
          <w14:textFill>
            <w14:solidFill>
              <w14:schemeClr w14:val="tx1"/>
            </w14:solidFill>
          </w14:textFill>
        </w:rPr>
        <w:t>。</w:t>
      </w:r>
    </w:p>
    <w:p w14:paraId="5046AD59">
      <w:pPr>
        <w:pStyle w:val="5"/>
        <w:numPr>
          <w:ilvl w:val="0"/>
          <w:numId w:val="6"/>
        </w:numPr>
        <w:tabs>
          <w:tab w:val="left" w:pos="1202"/>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p>
    <w:p w14:paraId="186E81FE">
      <w:pPr>
        <w:pStyle w:val="3"/>
        <w:numPr>
          <w:ilvl w:val="0"/>
          <w:numId w:val="8"/>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（投标文件中无需提供证明材料）</w:t>
      </w:r>
    </w:p>
    <w:p w14:paraId="1781F697">
      <w:pPr>
        <w:pStyle w:val="3"/>
        <w:numPr>
          <w:ilvl w:val="0"/>
          <w:numId w:val="8"/>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投标人须根据投标产品的类别，提供有效的《医疗器械经营许可证》或者其他相关经营许可文件</w:t>
      </w:r>
      <w:r>
        <w:rPr>
          <w:rFonts w:hint="eastAsia"/>
          <w:color w:val="000000" w:themeColor="text1"/>
          <w:highlight w:val="none"/>
          <w:lang w:eastAsia="zh-CN"/>
          <w14:textFill>
            <w14:solidFill>
              <w14:schemeClr w14:val="tx1"/>
            </w14:solidFill>
          </w14:textFill>
        </w:rPr>
        <w:t>（扫描件）</w:t>
      </w:r>
      <w:r>
        <w:rPr>
          <w:rFonts w:hint="eastAsia"/>
          <w:color w:val="000000" w:themeColor="text1"/>
          <w:highlight w:val="none"/>
          <w14:textFill>
            <w14:solidFill>
              <w14:schemeClr w14:val="tx1"/>
            </w14:solidFill>
          </w14:textFill>
        </w:rPr>
        <w:t>；</w:t>
      </w:r>
    </w:p>
    <w:p w14:paraId="2CCB91A7">
      <w:pPr>
        <w:pStyle w:val="3"/>
        <w:numPr>
          <w:ilvl w:val="0"/>
          <w:numId w:val="8"/>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投标人须提供投标产品的有效期内的《医疗器械注册证》</w:t>
      </w:r>
      <w:r>
        <w:rPr>
          <w:rFonts w:hint="eastAsia"/>
          <w:color w:val="000000" w:themeColor="text1"/>
          <w:highlight w:val="none"/>
          <w:lang w:eastAsia="zh-CN"/>
          <w14:textFill>
            <w14:solidFill>
              <w14:schemeClr w14:val="tx1"/>
            </w14:solidFill>
          </w14:textFill>
        </w:rPr>
        <w:t>（扫描件）</w:t>
      </w:r>
      <w:r>
        <w:rPr>
          <w:rFonts w:hint="eastAsia"/>
          <w:color w:val="000000" w:themeColor="text1"/>
          <w:highlight w:val="none"/>
          <w14:textFill>
            <w14:solidFill>
              <w14:schemeClr w14:val="tx1"/>
            </w14:solidFill>
          </w14:textFill>
        </w:rPr>
        <w:t>；</w:t>
      </w:r>
    </w:p>
    <w:p w14:paraId="31D2336D">
      <w:pPr>
        <w:pStyle w:val="3"/>
        <w:numPr>
          <w:ilvl w:val="0"/>
          <w:numId w:val="8"/>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本项目不接受进口产品投标</w:t>
      </w:r>
      <w:r>
        <w:rPr>
          <w:rFonts w:hint="eastAsia"/>
          <w:color w:val="000000" w:themeColor="text1"/>
          <w:highlight w:val="none"/>
          <w:lang w:eastAsia="zh-CN"/>
          <w14:textFill>
            <w14:solidFill>
              <w14:schemeClr w14:val="tx1"/>
            </w14:solidFill>
          </w14:textFill>
        </w:rPr>
        <w:t>。</w:t>
      </w:r>
    </w:p>
    <w:p w14:paraId="23F350ED">
      <w:pPr>
        <w:pStyle w:val="4"/>
        <w:numPr>
          <w:ilvl w:val="0"/>
          <w:numId w:val="4"/>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获取招标文件</w:t>
      </w:r>
    </w:p>
    <w:p w14:paraId="3AC10F49">
      <w:pPr>
        <w:pStyle w:val="3"/>
        <w:numPr>
          <w:ilvl w:val="0"/>
          <w:numId w:val="9"/>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时间：自招标文件公告发布之日起5个工作日</w:t>
      </w:r>
    </w:p>
    <w:p w14:paraId="688E382B">
      <w:pPr>
        <w:pStyle w:val="3"/>
        <w:numPr>
          <w:ilvl w:val="0"/>
          <w:numId w:val="9"/>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地点：“苏采云”系统</w:t>
      </w:r>
    </w:p>
    <w:p w14:paraId="00FF9B28">
      <w:pPr>
        <w:pStyle w:val="3"/>
        <w:numPr>
          <w:ilvl w:val="0"/>
          <w:numId w:val="9"/>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潜在供应商访问电子招标响应交易平台的网络地址和方法：</w:t>
      </w:r>
    </w:p>
    <w:p w14:paraId="1F33DAD9">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FD57602">
      <w:pPr>
        <w:pStyle w:val="3"/>
        <w:numPr>
          <w:ilvl w:val="0"/>
          <w:numId w:val="9"/>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潜在供应商访问“苏采云”系统的网络地址和方法：“苏采云”系统的网址：http://jszfcg.jsczt.cn/</w:t>
      </w:r>
    </w:p>
    <w:p w14:paraId="1ED07320">
      <w:pPr>
        <w:pStyle w:val="3"/>
        <w:numPr>
          <w:ilvl w:val="0"/>
          <w:numId w:val="9"/>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“CA数字证书”的获取</w:t>
      </w:r>
    </w:p>
    <w:p w14:paraId="07321B7C">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供应商需办理“CA数字证书”，CA办理指南及“苏采云”操作手册可至江苏省政府采购网—办事指南－资料下载中心下载。</w:t>
      </w:r>
    </w:p>
    <w:p w14:paraId="0353ABC2">
      <w:pPr>
        <w:pStyle w:val="3"/>
        <w:numPr>
          <w:ilvl w:val="0"/>
          <w:numId w:val="9"/>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采购文件（后缀名为“kedt”）、供应商操作手册及政府采购客户端工具可通过“苏采云”系统－－已报名项目－－报名详情页面内相应链接进行下载。</w:t>
      </w:r>
    </w:p>
    <w:p w14:paraId="5B4EE369">
      <w:pPr>
        <w:pStyle w:val="3"/>
        <w:numPr>
          <w:ilvl w:val="0"/>
          <w:numId w:val="9"/>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采购人或采购代理机构将数据电文形式的采购文件加载至“苏采云”系统，供潜在供应商下载或者查阅。</w:t>
      </w:r>
    </w:p>
    <w:p w14:paraId="60D2196D">
      <w:pPr>
        <w:pStyle w:val="3"/>
        <w:numPr>
          <w:ilvl w:val="0"/>
          <w:numId w:val="9"/>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请潜在供应商提前安装相应的控件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详见《江苏省政府采购管理交易系统（苏采云）供应商操作手册》</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并使用谷歌浏览器登录“苏采云”系统参与不见面开评标。</w:t>
      </w:r>
    </w:p>
    <w:p w14:paraId="5511B099">
      <w:pPr>
        <w:pStyle w:val="3"/>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注：如潜在供应商未按上述要求操作，将自行承担所产生的风险。</w:t>
      </w:r>
    </w:p>
    <w:p w14:paraId="349D4C91">
      <w:pPr>
        <w:pStyle w:val="4"/>
        <w:numPr>
          <w:ilvl w:val="0"/>
          <w:numId w:val="4"/>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提交投标文件截止时间、开标时间和地点</w:t>
      </w:r>
    </w:p>
    <w:p w14:paraId="0AF782EF">
      <w:pPr>
        <w:pStyle w:val="3"/>
        <w:ind w:firstLine="480"/>
        <w:rPr>
          <w:i/>
          <w:color w:val="000000" w:themeColor="text1"/>
          <w:highlight w:val="none"/>
          <w:u w:val="single"/>
          <w14:textFill>
            <w14:solidFill>
              <w14:schemeClr w14:val="tx1"/>
            </w14:solidFill>
          </w14:textFill>
        </w:rPr>
      </w:pPr>
      <w:bookmarkStart w:id="9" w:name="_Hlk171331639"/>
      <w:r>
        <w:rPr>
          <w:color w:val="000000" w:themeColor="text1"/>
          <w:highlight w:val="none"/>
          <w14:textFill>
            <w14:solidFill>
              <w14:schemeClr w14:val="tx1"/>
            </w14:solidFill>
          </w14:textFill>
        </w:rPr>
        <w:t>2025年</w:t>
      </w:r>
      <w:r>
        <w:rPr>
          <w:rFonts w:hint="eastAsia"/>
          <w:color w:val="000000" w:themeColor="text1"/>
          <w:highlight w:val="none"/>
          <w:lang w:val="en-US" w:eastAsia="zh-CN"/>
          <w14:textFill>
            <w14:solidFill>
              <w14:schemeClr w14:val="tx1"/>
            </w14:solidFill>
          </w14:textFill>
        </w:rPr>
        <w:t>12</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18</w:t>
      </w:r>
      <w:r>
        <w:rPr>
          <w:color w:val="000000" w:themeColor="text1"/>
          <w:highlight w:val="none"/>
          <w14:textFill>
            <w14:solidFill>
              <w14:schemeClr w14:val="tx1"/>
            </w14:solidFill>
          </w14:textFill>
        </w:rPr>
        <w:t>日9点</w:t>
      </w:r>
      <w:r>
        <w:rPr>
          <w:rFonts w:hint="eastAsia"/>
          <w:color w:val="000000" w:themeColor="text1"/>
          <w:highlight w:val="none"/>
          <w:lang w:val="en-US" w:eastAsia="zh-CN"/>
          <w14:textFill>
            <w14:solidFill>
              <w14:schemeClr w14:val="tx1"/>
            </w14:solidFill>
          </w14:textFill>
        </w:rPr>
        <w:t>3</w:t>
      </w:r>
      <w:bookmarkStart w:id="120" w:name="_GoBack"/>
      <w:bookmarkEnd w:id="120"/>
      <w:r>
        <w:rPr>
          <w:color w:val="000000" w:themeColor="text1"/>
          <w:highlight w:val="none"/>
          <w14:textFill>
            <w14:solidFill>
              <w14:schemeClr w14:val="tx1"/>
            </w14:solidFill>
          </w14:textFill>
        </w:rPr>
        <w:t>0分</w:t>
      </w:r>
      <w:bookmarkEnd w:id="9"/>
      <w:r>
        <w:rPr>
          <w:color w:val="000000" w:themeColor="text1"/>
          <w:highlight w:val="none"/>
          <w14:textFill>
            <w14:solidFill>
              <w14:schemeClr w14:val="tx1"/>
            </w14:solidFill>
          </w14:textFill>
        </w:rPr>
        <w:t>（北京时间）</w:t>
      </w:r>
    </w:p>
    <w:p w14:paraId="5D5C5E03">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逾时，交易系统将拒绝接受上传投标文件电子文档。</w:t>
      </w:r>
    </w:p>
    <w:p w14:paraId="2764AC4A">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地点：“苏采云”系统（网址：http://jszfcg.jsczt.cn）“开标大厅”。</w:t>
      </w:r>
    </w:p>
    <w:p w14:paraId="3626800A">
      <w:pPr>
        <w:pStyle w:val="3"/>
        <w:ind w:firstLine="480"/>
        <w:rPr>
          <w: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文件的解密：开标当天各供应商及时登录不见面开标大厅，投标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2E0E99FB">
      <w:pPr>
        <w:pStyle w:val="4"/>
        <w:numPr>
          <w:ilvl w:val="0"/>
          <w:numId w:val="4"/>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公告期限</w:t>
      </w:r>
    </w:p>
    <w:p w14:paraId="086AB099">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自本公告发布之日起5个工作日。</w:t>
      </w:r>
    </w:p>
    <w:p w14:paraId="68797788">
      <w:pPr>
        <w:pStyle w:val="4"/>
        <w:numPr>
          <w:ilvl w:val="0"/>
          <w:numId w:val="4"/>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其他补充事宜</w:t>
      </w:r>
    </w:p>
    <w:p w14:paraId="6A85132A">
      <w:pPr>
        <w:pStyle w:val="3"/>
        <w:numPr>
          <w:ilvl w:val="0"/>
          <w:numId w:val="10"/>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投标保证金：免收</w:t>
      </w:r>
    </w:p>
    <w:p w14:paraId="6F60DF34">
      <w:pPr>
        <w:pStyle w:val="3"/>
        <w:numPr>
          <w:ilvl w:val="0"/>
          <w:numId w:val="10"/>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项目开标活动模式：不见面远程开标模式，投标人在各自地点通过“苏采云”系统参加开标会。</w:t>
      </w:r>
    </w:p>
    <w:p w14:paraId="7AA5B00B">
      <w:pPr>
        <w:pStyle w:val="4"/>
        <w:numPr>
          <w:ilvl w:val="0"/>
          <w:numId w:val="4"/>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对本次招标提出询问，请按以下方式联系。</w:t>
      </w:r>
    </w:p>
    <w:p w14:paraId="705716AC">
      <w:pPr>
        <w:pStyle w:val="5"/>
        <w:numPr>
          <w:ilvl w:val="0"/>
          <w:numId w:val="11"/>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采购人信息</w:t>
      </w:r>
    </w:p>
    <w:p w14:paraId="6B1FA1B5">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w:t>
      </w:r>
      <w:r>
        <w:rPr>
          <w:rFonts w:hint="eastAsia"/>
          <w:color w:val="000000" w:themeColor="text1"/>
          <w:highlight w:val="none"/>
          <w14:textFill>
            <w14:solidFill>
              <w14:schemeClr w14:val="tx1"/>
            </w14:solidFill>
          </w14:textFill>
        </w:rPr>
        <w:t>南通大学附属医院</w:t>
      </w:r>
    </w:p>
    <w:p w14:paraId="05157340">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南通市西寺路20号</w:t>
      </w:r>
    </w:p>
    <w:p w14:paraId="4AB97412">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施老师、张老师</w:t>
      </w:r>
    </w:p>
    <w:p w14:paraId="2AE33946">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0513-85052089</w:t>
      </w:r>
    </w:p>
    <w:p w14:paraId="15159641">
      <w:pPr>
        <w:pStyle w:val="5"/>
        <w:numPr>
          <w:ilvl w:val="0"/>
          <w:numId w:val="11"/>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采购代理机构信息</w:t>
      </w:r>
    </w:p>
    <w:p w14:paraId="0C01852E">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名称：江苏弘业国际技术工程有限公司</w:t>
      </w:r>
    </w:p>
    <w:p w14:paraId="312F456B">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地址：南京市中华路50号弘业大厦10楼</w:t>
      </w:r>
    </w:p>
    <w:p w14:paraId="0ADFF053">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丁昕、茅燕凤</w:t>
      </w:r>
    </w:p>
    <w:p w14:paraId="3474CC79">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联系方式：13515216336</w:t>
      </w:r>
    </w:p>
    <w:p w14:paraId="0B85EBC0">
      <w:pPr>
        <w:pStyle w:val="5"/>
        <w:numPr>
          <w:ilvl w:val="0"/>
          <w:numId w:val="11"/>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软件技术支持：0519-86722801</w:t>
      </w:r>
    </w:p>
    <w:p w14:paraId="7B49D6C7">
      <w:pPr>
        <w:pStyle w:val="3"/>
        <w:tabs>
          <w:tab w:val="left" w:pos="420"/>
        </w:tabs>
        <w:ind w:left="1625" w:hanging="1205"/>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附件：</w:t>
      </w:r>
    </w:p>
    <w:p w14:paraId="24C14901">
      <w:pPr>
        <w:pStyle w:val="3"/>
        <w:tabs>
          <w:tab w:val="left" w:pos="420"/>
        </w:tabs>
        <w:ind w:left="1625" w:hanging="1205"/>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1.招标文件</w:t>
      </w:r>
    </w:p>
    <w:p w14:paraId="490C5D54">
      <w:pPr>
        <w:pStyle w:val="3"/>
        <w:tabs>
          <w:tab w:val="left" w:pos="420"/>
        </w:tabs>
        <w:ind w:left="1625" w:hanging="1205"/>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2.采购人信用承诺</w:t>
      </w:r>
      <w:bookmarkEnd w:id="4"/>
    </w:p>
    <w:p w14:paraId="1C71E91F">
      <w:pPr>
        <w:pStyle w:val="3"/>
        <w:tabs>
          <w:tab w:val="left" w:pos="420"/>
        </w:tabs>
        <w:ind w:left="1625" w:hanging="1205"/>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3.公平竞争审查二维码</w:t>
      </w:r>
    </w:p>
    <w:p w14:paraId="7DA85EBA">
      <w:pPr>
        <w:pStyle w:val="3"/>
        <w:tabs>
          <w:tab w:val="left" w:pos="420"/>
        </w:tabs>
        <w:ind w:left="1625" w:hanging="1205"/>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4.办理政采贷和履约保函（保险）告知函</w:t>
      </w:r>
    </w:p>
    <w:p w14:paraId="066F8E7C">
      <w:pPr>
        <w:widowControl/>
        <w:jc w:val="lef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p>
    <w:p w14:paraId="344E0CCE">
      <w:pPr>
        <w:pStyle w:val="725"/>
        <w:tabs>
          <w:tab w:val="left" w:pos="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第二部分  投标须知</w:t>
      </w:r>
    </w:p>
    <w:p w14:paraId="03835170">
      <w:pPr>
        <w:pStyle w:val="4"/>
        <w:numPr>
          <w:ilvl w:val="0"/>
          <w:numId w:val="12"/>
        </w:numPr>
        <w:tabs>
          <w:tab w:val="left" w:pos="963"/>
        </w:tabs>
        <w:ind w:firstLine="482"/>
        <w:rPr>
          <w:rFonts w:hint="eastAsia"/>
          <w:color w:val="000000" w:themeColor="text1"/>
          <w:highlight w:val="none"/>
          <w14:textFill>
            <w14:solidFill>
              <w14:schemeClr w14:val="tx1"/>
            </w14:solidFill>
          </w14:textFill>
        </w:rPr>
      </w:pPr>
      <w:bookmarkStart w:id="10" w:name="_Toc20823275"/>
      <w:bookmarkStart w:id="11" w:name="_Toc16938519"/>
      <w:bookmarkStart w:id="12" w:name="_Toc513029203"/>
      <w:bookmarkStart w:id="13" w:name="_Toc120614214"/>
      <w:r>
        <w:rPr>
          <w:color w:val="000000" w:themeColor="text1"/>
          <w:highlight w:val="none"/>
          <w14:textFill>
            <w14:solidFill>
              <w14:schemeClr w14:val="tx1"/>
            </w14:solidFill>
          </w14:textFill>
        </w:rPr>
        <w:t>总则</w:t>
      </w:r>
      <w:bookmarkEnd w:id="10"/>
      <w:bookmarkEnd w:id="11"/>
      <w:bookmarkEnd w:id="12"/>
      <w:bookmarkEnd w:id="13"/>
    </w:p>
    <w:p w14:paraId="441B01E7">
      <w:pPr>
        <w:pStyle w:val="5"/>
        <w:numPr>
          <w:ilvl w:val="0"/>
          <w:numId w:val="13"/>
        </w:numPr>
        <w:tabs>
          <w:tab w:val="left" w:pos="781"/>
          <w:tab w:val="clear" w:pos="210"/>
        </w:tabs>
        <w:ind w:firstLine="482"/>
        <w:rPr>
          <w:color w:val="000000" w:themeColor="text1"/>
          <w:highlight w:val="none"/>
          <w14:textFill>
            <w14:solidFill>
              <w14:schemeClr w14:val="tx1"/>
            </w14:solidFill>
          </w14:textFill>
        </w:rPr>
      </w:pPr>
      <w:bookmarkStart w:id="14" w:name="_Hlt16619475"/>
      <w:bookmarkEnd w:id="14"/>
      <w:bookmarkStart w:id="15" w:name="_Toc513029204"/>
      <w:bookmarkStart w:id="16" w:name="_Toc20823276"/>
      <w:bookmarkStart w:id="17" w:name="_Toc16938520"/>
      <w:r>
        <w:rPr>
          <w:color w:val="000000" w:themeColor="text1"/>
          <w:highlight w:val="none"/>
          <w14:textFill>
            <w14:solidFill>
              <w14:schemeClr w14:val="tx1"/>
            </w14:solidFill>
          </w14:textFill>
        </w:rPr>
        <w:t>招标方式</w:t>
      </w:r>
      <w:bookmarkEnd w:id="15"/>
      <w:bookmarkEnd w:id="16"/>
      <w:bookmarkEnd w:id="17"/>
    </w:p>
    <w:p w14:paraId="7FFAEDA7">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1.1本次招标采取公开招标方式，本招标文件仅适用于招标公告中所述项目。</w:t>
      </w:r>
    </w:p>
    <w:p w14:paraId="7BC53222">
      <w:pPr>
        <w:pStyle w:val="5"/>
        <w:numPr>
          <w:ilvl w:val="0"/>
          <w:numId w:val="13"/>
        </w:numPr>
        <w:tabs>
          <w:tab w:val="left" w:pos="781"/>
          <w:tab w:val="clear" w:pos="210"/>
        </w:tabs>
        <w:ind w:firstLine="482"/>
        <w:rPr>
          <w:color w:val="000000" w:themeColor="text1"/>
          <w:highlight w:val="none"/>
          <w14:textFill>
            <w14:solidFill>
              <w14:schemeClr w14:val="tx1"/>
            </w14:solidFill>
          </w14:textFill>
        </w:rPr>
      </w:pPr>
      <w:bookmarkStart w:id="18" w:name="_Toc513029205"/>
      <w:bookmarkStart w:id="19" w:name="_Toc20823277"/>
      <w:bookmarkStart w:id="20" w:name="_Toc16938521"/>
      <w:r>
        <w:rPr>
          <w:color w:val="000000" w:themeColor="text1"/>
          <w:highlight w:val="none"/>
          <w14:textFill>
            <w14:solidFill>
              <w14:schemeClr w14:val="tx1"/>
            </w14:solidFill>
          </w14:textFill>
        </w:rPr>
        <w:t>合格的投标人</w:t>
      </w:r>
      <w:bookmarkEnd w:id="18"/>
      <w:bookmarkEnd w:id="19"/>
      <w:bookmarkEnd w:id="20"/>
    </w:p>
    <w:p w14:paraId="01C29567">
      <w:pPr>
        <w:pStyle w:val="3"/>
        <w:numPr>
          <w:ilvl w:val="0"/>
          <w:numId w:val="14"/>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满足招标公告中供应商的资格要求的规定。</w:t>
      </w:r>
    </w:p>
    <w:p w14:paraId="1A6EE67D">
      <w:pPr>
        <w:pStyle w:val="3"/>
        <w:numPr>
          <w:ilvl w:val="0"/>
          <w:numId w:val="14"/>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满足本文件实质性条款的规定。</w:t>
      </w:r>
      <w:r>
        <w:rPr>
          <w:b/>
          <w:color w:val="000000" w:themeColor="text1"/>
          <w:highlight w:val="none"/>
          <w:u w:val="single"/>
          <w14:textFill>
            <w14:solidFill>
              <w14:schemeClr w14:val="tx1"/>
            </w14:solidFill>
          </w14:textFill>
        </w:rPr>
        <w:t>（本招标文件中实质性条款包括但不限于带有下划线、加注“*”、加注“★”号部分及其他可能对本项目产生实质性影响的条款）</w:t>
      </w:r>
    </w:p>
    <w:p w14:paraId="681722FA">
      <w:pPr>
        <w:pStyle w:val="5"/>
        <w:numPr>
          <w:ilvl w:val="0"/>
          <w:numId w:val="13"/>
        </w:numPr>
        <w:tabs>
          <w:tab w:val="left" w:pos="781"/>
          <w:tab w:val="clear" w:pos="210"/>
        </w:tabs>
        <w:ind w:firstLine="482"/>
        <w:rPr>
          <w:color w:val="000000" w:themeColor="text1"/>
          <w:highlight w:val="none"/>
          <w14:textFill>
            <w14:solidFill>
              <w14:schemeClr w14:val="tx1"/>
            </w14:solidFill>
          </w14:textFill>
        </w:rPr>
      </w:pPr>
      <w:bookmarkStart w:id="21" w:name="_Toc513029206"/>
      <w:bookmarkStart w:id="22" w:name="_Toc16938522"/>
      <w:bookmarkStart w:id="23" w:name="_Toc20823278"/>
      <w:r>
        <w:rPr>
          <w:color w:val="000000" w:themeColor="text1"/>
          <w:highlight w:val="none"/>
          <w14:textFill>
            <w14:solidFill>
              <w14:schemeClr w14:val="tx1"/>
            </w14:solidFill>
          </w14:textFill>
        </w:rPr>
        <w:t>适用法律</w:t>
      </w:r>
      <w:bookmarkEnd w:id="21"/>
      <w:bookmarkEnd w:id="22"/>
      <w:bookmarkEnd w:id="23"/>
    </w:p>
    <w:p w14:paraId="17791211">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3.1本次招标及由此产生的合同受中华人民共和国有关的法律法规制约和保护。</w:t>
      </w:r>
    </w:p>
    <w:p w14:paraId="4324DDBC">
      <w:pPr>
        <w:pStyle w:val="5"/>
        <w:numPr>
          <w:ilvl w:val="0"/>
          <w:numId w:val="13"/>
        </w:numPr>
        <w:tabs>
          <w:tab w:val="left" w:pos="781"/>
          <w:tab w:val="clear" w:pos="210"/>
        </w:tabs>
        <w:ind w:firstLine="482"/>
        <w:rPr>
          <w:color w:val="000000" w:themeColor="text1"/>
          <w:highlight w:val="none"/>
          <w14:textFill>
            <w14:solidFill>
              <w14:schemeClr w14:val="tx1"/>
            </w14:solidFill>
          </w14:textFill>
        </w:rPr>
      </w:pPr>
      <w:bookmarkStart w:id="24" w:name="_Toc462564067"/>
      <w:bookmarkStart w:id="25" w:name="_Toc513029207"/>
      <w:bookmarkStart w:id="26" w:name="_Toc20823279"/>
      <w:bookmarkStart w:id="27" w:name="_Toc16938523"/>
      <w:r>
        <w:rPr>
          <w:color w:val="000000" w:themeColor="text1"/>
          <w:highlight w:val="none"/>
          <w14:textFill>
            <w14:solidFill>
              <w14:schemeClr w14:val="tx1"/>
            </w14:solidFill>
          </w14:textFill>
        </w:rPr>
        <w:t>投标费用</w:t>
      </w:r>
      <w:bookmarkEnd w:id="24"/>
      <w:bookmarkEnd w:id="25"/>
      <w:bookmarkEnd w:id="26"/>
      <w:bookmarkEnd w:id="27"/>
    </w:p>
    <w:p w14:paraId="67070278">
      <w:pPr>
        <w:pStyle w:val="3"/>
        <w:numPr>
          <w:ilvl w:val="0"/>
          <w:numId w:val="15"/>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供应商应自行承担所有与参加投标有关的费用，无论招标过程中的做法和结果如何，采购人在任何情况下均无义务和责任承担这些费用。</w:t>
      </w:r>
    </w:p>
    <w:p w14:paraId="4B1C6DCA">
      <w:pPr>
        <w:pStyle w:val="3"/>
        <w:numPr>
          <w:ilvl w:val="0"/>
          <w:numId w:val="15"/>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履约保证金</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详见招标文件第三部分</w:t>
      </w:r>
      <w:r>
        <w:rPr>
          <w:color w:val="000000" w:themeColor="text1"/>
          <w:highlight w:val="none"/>
          <w14:textFill>
            <w14:solidFill>
              <w14:schemeClr w14:val="tx1"/>
            </w14:solidFill>
          </w14:textFill>
        </w:rPr>
        <w:t>。</w:t>
      </w:r>
    </w:p>
    <w:p w14:paraId="5435967E">
      <w:pPr>
        <w:pStyle w:val="3"/>
        <w:numPr>
          <w:ilvl w:val="0"/>
          <w:numId w:val="15"/>
        </w:numPr>
        <w:tabs>
          <w:tab w:val="left" w:pos="900"/>
          <w:tab w:val="clear" w:pos="210"/>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采代理服务费按照国家发展计划委员会文件计价格[2002]1980号《招标代理服务收费管理暂行办法》规定标准的52.67%执行，单个项目代理服务费不足1500元的按1500元</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由中标供应商支付</w:t>
      </w:r>
      <w:r>
        <w:rPr>
          <w:color w:val="000000" w:themeColor="text1"/>
          <w:highlight w:val="none"/>
          <w14:textFill>
            <w14:solidFill>
              <w14:schemeClr w14:val="tx1"/>
            </w14:solidFill>
          </w14:textFill>
        </w:rPr>
        <w:t>。</w:t>
      </w:r>
    </w:p>
    <w:p w14:paraId="1460936F">
      <w:pPr>
        <w:pStyle w:val="5"/>
        <w:numPr>
          <w:ilvl w:val="0"/>
          <w:numId w:val="13"/>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招标文件的约束力</w:t>
      </w:r>
    </w:p>
    <w:p w14:paraId="61668F48">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5.1投标人一旦参加本项目采购活动，即被认为接受了本招标文件的规定和约束。</w:t>
      </w:r>
    </w:p>
    <w:p w14:paraId="24A64056">
      <w:pPr>
        <w:pStyle w:val="5"/>
        <w:numPr>
          <w:ilvl w:val="0"/>
          <w:numId w:val="13"/>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招标文件的解释</w:t>
      </w:r>
    </w:p>
    <w:p w14:paraId="5557828D">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6.1招标文件需求部分（供应商资格要求、项目需求、商务技术评分标准）由采购人解释，其他部分由采购代理机构解释。</w:t>
      </w:r>
    </w:p>
    <w:p w14:paraId="1F07EC4E">
      <w:pPr>
        <w:pStyle w:val="4"/>
        <w:numPr>
          <w:ilvl w:val="0"/>
          <w:numId w:val="12"/>
        </w:numPr>
        <w:tabs>
          <w:tab w:val="left" w:pos="963"/>
        </w:tabs>
        <w:ind w:firstLine="482"/>
        <w:rPr>
          <w:rFonts w:hint="eastAsia"/>
          <w:color w:val="000000" w:themeColor="text1"/>
          <w:highlight w:val="none"/>
          <w14:textFill>
            <w14:solidFill>
              <w14:schemeClr w14:val="tx1"/>
            </w14:solidFill>
          </w14:textFill>
        </w:rPr>
      </w:pPr>
      <w:bookmarkStart w:id="28" w:name="_Toc513029209"/>
      <w:bookmarkStart w:id="29" w:name="_Toc20823281"/>
      <w:bookmarkStart w:id="30" w:name="_Toc16938525"/>
      <w:bookmarkStart w:id="31" w:name="_Toc120614215"/>
      <w:r>
        <w:rPr>
          <w:color w:val="000000" w:themeColor="text1"/>
          <w:highlight w:val="none"/>
          <w14:textFill>
            <w14:solidFill>
              <w14:schemeClr w14:val="tx1"/>
            </w14:solidFill>
          </w14:textFill>
        </w:rPr>
        <w:t>招标文件</w:t>
      </w:r>
      <w:bookmarkEnd w:id="28"/>
      <w:bookmarkEnd w:id="29"/>
      <w:bookmarkEnd w:id="30"/>
      <w:bookmarkEnd w:id="31"/>
    </w:p>
    <w:p w14:paraId="57EDA2CA">
      <w:pPr>
        <w:pStyle w:val="3"/>
        <w:numPr>
          <w:ilvl w:val="0"/>
          <w:numId w:val="16"/>
        </w:numPr>
        <w:tabs>
          <w:tab w:val="left" w:pos="780"/>
          <w:tab w:val="clear" w:pos="210"/>
        </w:tabs>
        <w:rPr>
          <w:color w:val="000000" w:themeColor="text1"/>
          <w:highlight w:val="none"/>
          <w14:textFill>
            <w14:solidFill>
              <w14:schemeClr w14:val="tx1"/>
            </w14:solidFill>
          </w14:textFill>
        </w:rPr>
      </w:pPr>
      <w:bookmarkStart w:id="32" w:name="_Toc513029210"/>
      <w:bookmarkStart w:id="33" w:name="_Toc20823282"/>
      <w:bookmarkStart w:id="34" w:name="_Toc16938526"/>
      <w:r>
        <w:rPr>
          <w:color w:val="000000" w:themeColor="text1"/>
          <w:highlight w:val="none"/>
          <w14:textFill>
            <w14:solidFill>
              <w14:schemeClr w14:val="tx1"/>
            </w14:solidFill>
          </w14:textFill>
        </w:rPr>
        <w:t>招标文件构成</w:t>
      </w:r>
      <w:bookmarkEnd w:id="32"/>
      <w:bookmarkEnd w:id="33"/>
      <w:bookmarkEnd w:id="34"/>
    </w:p>
    <w:p w14:paraId="34D08789">
      <w:pPr>
        <w:pStyle w:val="3"/>
        <w:numPr>
          <w:ilvl w:val="0"/>
          <w:numId w:val="17"/>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招标文件由以下部分组成：</w:t>
      </w:r>
    </w:p>
    <w:p w14:paraId="3DF670F4">
      <w:pPr>
        <w:pStyle w:val="3"/>
        <w:numPr>
          <w:ilvl w:val="0"/>
          <w:numId w:val="18"/>
        </w:numPr>
        <w:tabs>
          <w:tab w:val="left" w:pos="1080"/>
        </w:tabs>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招标公告</w:t>
      </w:r>
    </w:p>
    <w:p w14:paraId="3A1110F6">
      <w:pPr>
        <w:pStyle w:val="3"/>
        <w:numPr>
          <w:ilvl w:val="0"/>
          <w:numId w:val="18"/>
        </w:numPr>
        <w:tabs>
          <w:tab w:val="left" w:pos="108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投标须知</w:t>
      </w:r>
    </w:p>
    <w:p w14:paraId="1D5C87E5">
      <w:pPr>
        <w:pStyle w:val="3"/>
        <w:numPr>
          <w:ilvl w:val="0"/>
          <w:numId w:val="18"/>
        </w:numPr>
        <w:tabs>
          <w:tab w:val="left" w:pos="108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项目需求</w:t>
      </w:r>
    </w:p>
    <w:p w14:paraId="3301614D">
      <w:pPr>
        <w:pStyle w:val="3"/>
        <w:numPr>
          <w:ilvl w:val="0"/>
          <w:numId w:val="18"/>
        </w:numPr>
        <w:tabs>
          <w:tab w:val="left" w:pos="108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开标和评标</w:t>
      </w:r>
    </w:p>
    <w:p w14:paraId="49B33FAF">
      <w:pPr>
        <w:pStyle w:val="3"/>
        <w:numPr>
          <w:ilvl w:val="0"/>
          <w:numId w:val="18"/>
        </w:numPr>
        <w:tabs>
          <w:tab w:val="left" w:pos="1080"/>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合同格式</w:t>
      </w:r>
    </w:p>
    <w:p w14:paraId="7727865E">
      <w:pPr>
        <w:pStyle w:val="3"/>
        <w:numPr>
          <w:ilvl w:val="0"/>
          <w:numId w:val="18"/>
        </w:numPr>
        <w:tabs>
          <w:tab w:val="left" w:pos="108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投标文件组成</w:t>
      </w:r>
    </w:p>
    <w:p w14:paraId="72DB7ED9">
      <w:pPr>
        <w:pStyle w:val="3"/>
        <w:numPr>
          <w:ilvl w:val="0"/>
          <w:numId w:val="18"/>
        </w:numPr>
        <w:tabs>
          <w:tab w:val="left" w:pos="1080"/>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附件</w:t>
      </w:r>
    </w:p>
    <w:p w14:paraId="07A7D9EA">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请仔细检查招标文件是否齐全，如有缺漏请立即与采购人或采购代理机构联系解决。</w:t>
      </w:r>
    </w:p>
    <w:p w14:paraId="7C5A8360">
      <w:pPr>
        <w:pStyle w:val="3"/>
        <w:numPr>
          <w:ilvl w:val="0"/>
          <w:numId w:val="17"/>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898080">
      <w:pPr>
        <w:pStyle w:val="3"/>
        <w:numPr>
          <w:ilvl w:val="0"/>
          <w:numId w:val="16"/>
        </w:numPr>
        <w:tabs>
          <w:tab w:val="left" w:pos="780"/>
          <w:tab w:val="clear" w:pos="210"/>
        </w:tabs>
        <w:rPr>
          <w:color w:val="000000" w:themeColor="text1"/>
          <w:highlight w:val="none"/>
          <w14:textFill>
            <w14:solidFill>
              <w14:schemeClr w14:val="tx1"/>
            </w14:solidFill>
          </w14:textFill>
        </w:rPr>
      </w:pPr>
      <w:bookmarkStart w:id="35" w:name="_Toc16938527"/>
      <w:bookmarkStart w:id="36" w:name="_Toc513029211"/>
      <w:bookmarkStart w:id="37" w:name="_Toc20823283"/>
      <w:bookmarkStart w:id="38" w:name="_Toc462564070"/>
      <w:r>
        <w:rPr>
          <w:color w:val="000000" w:themeColor="text1"/>
          <w:highlight w:val="none"/>
          <w14:textFill>
            <w14:solidFill>
              <w14:schemeClr w14:val="tx1"/>
            </w14:solidFill>
          </w14:textFill>
        </w:rPr>
        <w:t>招标文件的澄清</w:t>
      </w:r>
      <w:bookmarkEnd w:id="35"/>
      <w:bookmarkEnd w:id="36"/>
      <w:bookmarkEnd w:id="37"/>
      <w:bookmarkEnd w:id="38"/>
    </w:p>
    <w:p w14:paraId="76066234">
      <w:pPr>
        <w:pStyle w:val="3"/>
        <w:numPr>
          <w:ilvl w:val="0"/>
          <w:numId w:val="19"/>
        </w:numPr>
        <w:tabs>
          <w:tab w:val="left" w:pos="90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p>
    <w:p w14:paraId="76171AAE">
      <w:pPr>
        <w:pStyle w:val="3"/>
        <w:numPr>
          <w:ilvl w:val="0"/>
          <w:numId w:val="19"/>
        </w:numPr>
        <w:tabs>
          <w:tab w:val="left" w:pos="900"/>
          <w:tab w:val="clear" w:pos="210"/>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澄清答复内容为招标文件的组成部分，并对供应商具有约束力。澄清内容可能影响投标文件编制的，采购人或者采购代理机构将顺延递交投标文件的截止时间</w:t>
      </w:r>
      <w:r>
        <w:rPr>
          <w:rFonts w:hint="eastAsia"/>
          <w:color w:val="000000" w:themeColor="text1"/>
          <w:highlight w:val="none"/>
          <w:lang w:eastAsia="zh-CN"/>
          <w14:textFill>
            <w14:solidFill>
              <w14:schemeClr w14:val="tx1"/>
            </w14:solidFill>
          </w14:textFill>
        </w:rPr>
        <w:t>。</w:t>
      </w:r>
    </w:p>
    <w:p w14:paraId="51580436">
      <w:pPr>
        <w:pStyle w:val="3"/>
        <w:numPr>
          <w:ilvl w:val="0"/>
          <w:numId w:val="16"/>
        </w:numPr>
        <w:tabs>
          <w:tab w:val="left" w:pos="780"/>
          <w:tab w:val="clear" w:pos="210"/>
        </w:tabs>
        <w:rPr>
          <w:color w:val="000000" w:themeColor="text1"/>
          <w:highlight w:val="none"/>
          <w14:textFill>
            <w14:solidFill>
              <w14:schemeClr w14:val="tx1"/>
            </w14:solidFill>
          </w14:textFill>
        </w:rPr>
      </w:pPr>
      <w:bookmarkStart w:id="39" w:name="_Toc513029212"/>
      <w:bookmarkStart w:id="40" w:name="_Toc462564071"/>
      <w:bookmarkStart w:id="41" w:name="_Toc16938528"/>
      <w:bookmarkStart w:id="42" w:name="_Toc20823284"/>
      <w:r>
        <w:rPr>
          <w:color w:val="000000" w:themeColor="text1"/>
          <w:highlight w:val="none"/>
          <w14:textFill>
            <w14:solidFill>
              <w14:schemeClr w14:val="tx1"/>
            </w14:solidFill>
          </w14:textFill>
        </w:rPr>
        <w:t>招标文件的修改</w:t>
      </w:r>
      <w:bookmarkEnd w:id="39"/>
      <w:bookmarkEnd w:id="40"/>
      <w:bookmarkEnd w:id="41"/>
      <w:bookmarkEnd w:id="42"/>
    </w:p>
    <w:p w14:paraId="554940B5">
      <w:pPr>
        <w:pStyle w:val="3"/>
        <w:numPr>
          <w:ilvl w:val="0"/>
          <w:numId w:val="20"/>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在投标截止时间前，采购人或采购代理机构可以对招标文件进行修改。</w:t>
      </w:r>
    </w:p>
    <w:p w14:paraId="5E3137A3">
      <w:pPr>
        <w:pStyle w:val="3"/>
        <w:numPr>
          <w:ilvl w:val="0"/>
          <w:numId w:val="20"/>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采购人或采购代理机构有权按照法定的要求推迟投标截止日期和开标日期。</w:t>
      </w:r>
    </w:p>
    <w:p w14:paraId="574CC4A3">
      <w:pPr>
        <w:pStyle w:val="3"/>
        <w:numPr>
          <w:ilvl w:val="0"/>
          <w:numId w:val="20"/>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招标文件的修改将在江苏政府采购网公布，补充文件将作为招标文件的组成部分，并对投标人具有约束力。</w:t>
      </w:r>
    </w:p>
    <w:p w14:paraId="503BA15E">
      <w:pPr>
        <w:pStyle w:val="3"/>
        <w:numPr>
          <w:ilvl w:val="0"/>
          <w:numId w:val="16"/>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p>
    <w:p w14:paraId="2CE1A50F">
      <w:pPr>
        <w:pStyle w:val="3"/>
        <w:numPr>
          <w:ilvl w:val="0"/>
          <w:numId w:val="16"/>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投标人对采购人提供的采购文件所做出的推论、解释和结论，采购人概不负责。供应商由于对采购文件的任何推论和误解以及采购人对有关问题的口头解释所造成的后果，均由各潜在投标人自负。</w:t>
      </w:r>
    </w:p>
    <w:p w14:paraId="3F015F98">
      <w:pPr>
        <w:pStyle w:val="4"/>
        <w:numPr>
          <w:ilvl w:val="0"/>
          <w:numId w:val="12"/>
        </w:numPr>
        <w:tabs>
          <w:tab w:val="left" w:pos="963"/>
        </w:tabs>
        <w:ind w:firstLine="482"/>
        <w:rPr>
          <w:rFonts w:hint="eastAsia"/>
          <w:color w:val="000000" w:themeColor="text1"/>
          <w:highlight w:val="none"/>
          <w14:textFill>
            <w14:solidFill>
              <w14:schemeClr w14:val="tx1"/>
            </w14:solidFill>
          </w14:textFill>
        </w:rPr>
      </w:pPr>
      <w:bookmarkStart w:id="43" w:name="_Toc462564072"/>
      <w:bookmarkStart w:id="44" w:name="_Toc16938529"/>
      <w:bookmarkStart w:id="45" w:name="_Toc20823285"/>
      <w:bookmarkStart w:id="46" w:name="_Toc513029213"/>
      <w:bookmarkStart w:id="47" w:name="_Toc120614216"/>
      <w:r>
        <w:rPr>
          <w:color w:val="000000" w:themeColor="text1"/>
          <w:highlight w:val="none"/>
          <w14:textFill>
            <w14:solidFill>
              <w14:schemeClr w14:val="tx1"/>
            </w14:solidFill>
          </w14:textFill>
        </w:rPr>
        <w:t>投标文件的编制</w:t>
      </w:r>
      <w:bookmarkEnd w:id="43"/>
      <w:bookmarkEnd w:id="44"/>
      <w:bookmarkEnd w:id="45"/>
      <w:bookmarkEnd w:id="46"/>
      <w:bookmarkEnd w:id="47"/>
    </w:p>
    <w:p w14:paraId="192ED618">
      <w:pPr>
        <w:pStyle w:val="3"/>
        <w:numPr>
          <w:ilvl w:val="0"/>
          <w:numId w:val="21"/>
        </w:numPr>
        <w:tabs>
          <w:tab w:val="left" w:pos="780"/>
          <w:tab w:val="clear" w:pos="210"/>
        </w:tabs>
        <w:rPr>
          <w:color w:val="000000" w:themeColor="text1"/>
          <w:highlight w:val="none"/>
          <w14:textFill>
            <w14:solidFill>
              <w14:schemeClr w14:val="tx1"/>
            </w14:solidFill>
          </w14:textFill>
        </w:rPr>
      </w:pPr>
      <w:bookmarkStart w:id="48" w:name="_Toc20823286"/>
      <w:bookmarkStart w:id="49" w:name="_Toc16938530"/>
      <w:bookmarkStart w:id="50" w:name="_Toc462564073"/>
      <w:bookmarkStart w:id="51" w:name="_Toc513029214"/>
      <w:r>
        <w:rPr>
          <w:color w:val="000000" w:themeColor="text1"/>
          <w:highlight w:val="none"/>
          <w14:textFill>
            <w14:solidFill>
              <w14:schemeClr w14:val="tx1"/>
            </w14:solidFill>
          </w14:textFill>
        </w:rPr>
        <w:t>投标文件的语言及度量衡单位</w:t>
      </w:r>
      <w:bookmarkEnd w:id="48"/>
      <w:bookmarkEnd w:id="49"/>
      <w:bookmarkEnd w:id="50"/>
      <w:bookmarkEnd w:id="51"/>
    </w:p>
    <w:p w14:paraId="52E1BE04">
      <w:pPr>
        <w:pStyle w:val="3"/>
        <w:numPr>
          <w:ilvl w:val="0"/>
          <w:numId w:val="22"/>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投标人提交的投标文件以及投标人与采购人或采购代理机构就有关投标的所有来往通知、函件和文件均应使用简体中文。</w:t>
      </w:r>
    </w:p>
    <w:p w14:paraId="3B30BC19">
      <w:pPr>
        <w:pStyle w:val="3"/>
        <w:numPr>
          <w:ilvl w:val="0"/>
          <w:numId w:val="22"/>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除技术性能另有规定外，投标文件所使用的度量衡单位，均须采用国家法定计量单位。</w:t>
      </w:r>
    </w:p>
    <w:p w14:paraId="415BAE60">
      <w:pPr>
        <w:pStyle w:val="3"/>
        <w:numPr>
          <w:ilvl w:val="0"/>
          <w:numId w:val="21"/>
        </w:numPr>
        <w:tabs>
          <w:tab w:val="left" w:pos="780"/>
          <w:tab w:val="clear" w:pos="210"/>
        </w:tabs>
        <w:rPr>
          <w:color w:val="000000" w:themeColor="text1"/>
          <w:highlight w:val="none"/>
          <w14:textFill>
            <w14:solidFill>
              <w14:schemeClr w14:val="tx1"/>
            </w14:solidFill>
          </w14:textFill>
        </w:rPr>
      </w:pPr>
      <w:bookmarkStart w:id="52" w:name="_Toc20823287"/>
      <w:bookmarkStart w:id="53" w:name="_Toc462564074"/>
      <w:bookmarkStart w:id="54" w:name="_Toc513029215"/>
      <w:bookmarkStart w:id="55" w:name="_Toc16938531"/>
      <w:r>
        <w:rPr>
          <w:color w:val="000000" w:themeColor="text1"/>
          <w:highlight w:val="none"/>
          <w14:textFill>
            <w14:solidFill>
              <w14:schemeClr w14:val="tx1"/>
            </w14:solidFill>
          </w14:textFill>
        </w:rPr>
        <w:t>投标文件构成</w:t>
      </w:r>
      <w:bookmarkEnd w:id="52"/>
      <w:bookmarkEnd w:id="53"/>
      <w:bookmarkEnd w:id="54"/>
      <w:bookmarkEnd w:id="55"/>
    </w:p>
    <w:p w14:paraId="392683F7">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2.1投标人编写的投标文件应包括资格审查证明材料文件，商务、技术标文件，价格标文件。供应商按“第六部分 投标文件组成”要求编写投标文件</w:t>
      </w:r>
    </w:p>
    <w:p w14:paraId="0DD1C2FA">
      <w:pPr>
        <w:pStyle w:val="3"/>
        <w:numPr>
          <w:ilvl w:val="0"/>
          <w:numId w:val="21"/>
        </w:numPr>
        <w:tabs>
          <w:tab w:val="left" w:pos="780"/>
          <w:tab w:val="clear" w:pos="210"/>
        </w:tabs>
        <w:rPr>
          <w:color w:val="000000" w:themeColor="text1"/>
          <w:highlight w:val="none"/>
          <w14:textFill>
            <w14:solidFill>
              <w14:schemeClr w14:val="tx1"/>
            </w14:solidFill>
          </w14:textFill>
        </w:rPr>
      </w:pPr>
      <w:bookmarkStart w:id="56" w:name="_Hlt26670360"/>
      <w:bookmarkEnd w:id="56"/>
      <w:bookmarkStart w:id="57" w:name="_Hlt26954838"/>
      <w:bookmarkEnd w:id="57"/>
      <w:bookmarkStart w:id="58" w:name="_Hlt26668975"/>
      <w:bookmarkEnd w:id="58"/>
      <w:bookmarkStart w:id="59" w:name="_Toc14577360"/>
      <w:bookmarkStart w:id="60" w:name="_Toc49090511"/>
      <w:r>
        <w:rPr>
          <w:color w:val="000000" w:themeColor="text1"/>
          <w:highlight w:val="none"/>
          <w14:textFill>
            <w14:solidFill>
              <w14:schemeClr w14:val="tx1"/>
            </w14:solidFill>
          </w14:textFill>
        </w:rPr>
        <w:t>投标有效期</w:t>
      </w:r>
      <w:bookmarkEnd w:id="59"/>
      <w:bookmarkEnd w:id="60"/>
    </w:p>
    <w:p w14:paraId="0E555980">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3.1投标有效期为招标文件规定的开标之日后</w:t>
      </w:r>
      <w:r>
        <w:rPr>
          <w:rFonts w:hint="eastAsia"/>
          <w:b/>
          <w:color w:val="000000" w:themeColor="text1"/>
          <w:highlight w:val="none"/>
          <w:u w:val="single"/>
          <w14:textFill>
            <w14:solidFill>
              <w14:schemeClr w14:val="tx1"/>
            </w14:solidFill>
          </w14:textFill>
        </w:rPr>
        <w:t>九</w:t>
      </w:r>
      <w:r>
        <w:rPr>
          <w:b/>
          <w:color w:val="000000" w:themeColor="text1"/>
          <w:highlight w:val="none"/>
          <w:u w:val="single"/>
          <w14:textFill>
            <w14:solidFill>
              <w14:schemeClr w14:val="tx1"/>
            </w14:solidFill>
          </w14:textFill>
        </w:rPr>
        <w:t>十（</w:t>
      </w:r>
      <w:r>
        <w:rPr>
          <w:rFonts w:hint="eastAsia"/>
          <w:b/>
          <w:color w:val="000000" w:themeColor="text1"/>
          <w:highlight w:val="none"/>
          <w:u w:val="single"/>
          <w14:textFill>
            <w14:solidFill>
              <w14:schemeClr w14:val="tx1"/>
            </w14:solidFill>
          </w14:textFill>
        </w:rPr>
        <w:t>9</w:t>
      </w:r>
      <w:r>
        <w:rPr>
          <w:b/>
          <w:color w:val="000000" w:themeColor="text1"/>
          <w:highlight w:val="none"/>
          <w:u w:val="single"/>
          <w14:textFill>
            <w14:solidFill>
              <w14:schemeClr w14:val="tx1"/>
            </w14:solidFill>
          </w14:textFill>
        </w:rPr>
        <w:t>0）天</w:t>
      </w:r>
      <w:r>
        <w:rPr>
          <w:color w:val="000000" w:themeColor="text1"/>
          <w:highlight w:val="none"/>
          <w14:textFill>
            <w14:solidFill>
              <w14:schemeClr w14:val="tx1"/>
            </w14:solidFill>
          </w14:textFill>
        </w:rPr>
        <w:t>。投标有效期比规定短的将被视为非响应性投标而予以拒绝。</w:t>
      </w:r>
    </w:p>
    <w:p w14:paraId="635CC641">
      <w:pPr>
        <w:pStyle w:val="3"/>
        <w:numPr>
          <w:ilvl w:val="0"/>
          <w:numId w:val="21"/>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投标有效期的延长</w:t>
      </w:r>
    </w:p>
    <w:p w14:paraId="5123CB27">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4F6738E3">
      <w:pPr>
        <w:pStyle w:val="3"/>
        <w:numPr>
          <w:ilvl w:val="0"/>
          <w:numId w:val="21"/>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电子响应文件其他要求</w:t>
      </w:r>
    </w:p>
    <w:p w14:paraId="38580C53">
      <w:pPr>
        <w:pStyle w:val="3"/>
        <w:numPr>
          <w:ilvl w:val="0"/>
          <w:numId w:val="2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电子招标投标交易平台（即“苏采云”系统）相关要求是本采购文件的组成部分。</w:t>
      </w:r>
    </w:p>
    <w:p w14:paraId="3B39D762">
      <w:pPr>
        <w:pStyle w:val="3"/>
        <w:numPr>
          <w:ilvl w:val="0"/>
          <w:numId w:val="2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投标人应对CA证书妥善保管，如被他人盗用投标，因此带来的结果均由供应商自行承担。</w:t>
      </w:r>
    </w:p>
    <w:p w14:paraId="536B9F18">
      <w:pPr>
        <w:pStyle w:val="3"/>
        <w:numPr>
          <w:ilvl w:val="0"/>
          <w:numId w:val="2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投标人应当对采购文件提出的实质性要求和条件作出实质性响应，并在电子投标系统逐条应答。</w:t>
      </w:r>
    </w:p>
    <w:p w14:paraId="62E38E97">
      <w:pPr>
        <w:pStyle w:val="3"/>
        <w:numPr>
          <w:ilvl w:val="0"/>
          <w:numId w:val="2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投标人应对要求提供的资格证明文件（如资质证书、资格证书）、技术资料（如白皮书、彩页、手册、检测报告等）扫描上传至投标系统。</w:t>
      </w:r>
    </w:p>
    <w:p w14:paraId="60FDB593">
      <w:pPr>
        <w:pStyle w:val="3"/>
        <w:numPr>
          <w:ilvl w:val="0"/>
          <w:numId w:val="21"/>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投标人应当在采购文件要求提交投标文件的截止时间前，将投标文件提交至“苏采云”系统，逾期提交的投标文件，“苏采云”系统将自动拒收。各投标人应在规定时间内凭CA证书进行网上解密。</w:t>
      </w:r>
    </w:p>
    <w:p w14:paraId="442C69F0">
      <w:pPr>
        <w:pStyle w:val="4"/>
        <w:numPr>
          <w:ilvl w:val="0"/>
          <w:numId w:val="12"/>
        </w:numPr>
        <w:tabs>
          <w:tab w:val="left" w:pos="963"/>
        </w:tabs>
        <w:ind w:firstLine="482"/>
        <w:rPr>
          <w:rFonts w:hint="eastAsia"/>
          <w:color w:val="000000" w:themeColor="text1"/>
          <w:highlight w:val="none"/>
          <w14:textFill>
            <w14:solidFill>
              <w14:schemeClr w14:val="tx1"/>
            </w14:solidFill>
          </w14:textFill>
        </w:rPr>
      </w:pPr>
      <w:bookmarkStart w:id="61" w:name="_Hlt26954852"/>
      <w:bookmarkEnd w:id="61"/>
      <w:bookmarkStart w:id="62" w:name="_Hlt26954739"/>
      <w:bookmarkEnd w:id="62"/>
      <w:bookmarkStart w:id="63" w:name="_Toc20823296"/>
      <w:bookmarkStart w:id="64" w:name="_Toc513029224"/>
      <w:bookmarkStart w:id="65" w:name="_Toc120614217"/>
      <w:bookmarkStart w:id="66" w:name="_Toc16938540"/>
      <w:r>
        <w:rPr>
          <w:color w:val="000000" w:themeColor="text1"/>
          <w:highlight w:val="none"/>
          <w14:textFill>
            <w14:solidFill>
              <w14:schemeClr w14:val="tx1"/>
            </w14:solidFill>
          </w14:textFill>
        </w:rPr>
        <w:t>投标文件的递交</w:t>
      </w:r>
      <w:bookmarkEnd w:id="63"/>
      <w:bookmarkEnd w:id="64"/>
      <w:bookmarkEnd w:id="65"/>
      <w:bookmarkEnd w:id="66"/>
    </w:p>
    <w:p w14:paraId="5CA15FAF">
      <w:pPr>
        <w:pStyle w:val="5"/>
        <w:numPr>
          <w:ilvl w:val="0"/>
          <w:numId w:val="24"/>
        </w:numPr>
        <w:tabs>
          <w:tab w:val="left" w:pos="781"/>
          <w:tab w:val="clear" w:pos="210"/>
        </w:tabs>
        <w:ind w:firstLine="482"/>
        <w:rPr>
          <w:color w:val="000000" w:themeColor="text1"/>
          <w:highlight w:val="none"/>
          <w14:textFill>
            <w14:solidFill>
              <w14:schemeClr w14:val="tx1"/>
            </w14:solidFill>
          </w14:textFill>
        </w:rPr>
      </w:pPr>
      <w:bookmarkStart w:id="67" w:name="_Toc20823297"/>
      <w:bookmarkStart w:id="68" w:name="_Toc513029225"/>
      <w:bookmarkStart w:id="69" w:name="_Toc16938541"/>
      <w:bookmarkStart w:id="70" w:name="_Toc462564084"/>
      <w:r>
        <w:rPr>
          <w:color w:val="000000" w:themeColor="text1"/>
          <w:highlight w:val="none"/>
          <w14:textFill>
            <w14:solidFill>
              <w14:schemeClr w14:val="tx1"/>
            </w14:solidFill>
          </w14:textFill>
        </w:rPr>
        <w:t>投标文件</w:t>
      </w:r>
      <w:bookmarkEnd w:id="67"/>
      <w:bookmarkEnd w:id="68"/>
      <w:bookmarkEnd w:id="69"/>
      <w:bookmarkEnd w:id="70"/>
      <w:r>
        <w:rPr>
          <w:color w:val="000000" w:themeColor="text1"/>
          <w:highlight w:val="none"/>
          <w14:textFill>
            <w14:solidFill>
              <w14:schemeClr w14:val="tx1"/>
            </w14:solidFill>
          </w14:textFill>
        </w:rPr>
        <w:t>的递交</w:t>
      </w:r>
    </w:p>
    <w:p w14:paraId="0A2A5294">
      <w:pPr>
        <w:pStyle w:val="3"/>
        <w:ind w:firstLine="480"/>
        <w:rPr>
          <w:color w:val="000000" w:themeColor="text1"/>
          <w:highlight w:val="none"/>
          <w14:textFill>
            <w14:solidFill>
              <w14:schemeClr w14:val="tx1"/>
            </w14:solidFill>
          </w14:textFill>
        </w:rPr>
      </w:pPr>
      <w:bookmarkStart w:id="71" w:name="_Toc513029226"/>
      <w:bookmarkStart w:id="72" w:name="_Toc16938542"/>
      <w:bookmarkStart w:id="73" w:name="_Toc20823298"/>
      <w:r>
        <w:rPr>
          <w:color w:val="000000" w:themeColor="text1"/>
          <w:highlight w:val="none"/>
          <w14:textFill>
            <w14:solidFill>
              <w14:schemeClr w14:val="tx1"/>
            </w14:solidFill>
          </w14:textFill>
        </w:rPr>
        <w:t>1.1线上提交与接收地点：供应商应当通过“苏采云”系统提交数据电文形式的响应文件（即电子投标），“苏采云”系统自动接收。</w:t>
      </w:r>
    </w:p>
    <w:p w14:paraId="18A22AC1">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说明：电子投标文件应由其法定代表人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或组织负责人、自然人投标的为其本人，下同</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或法定代表人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主要负责人</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授权代表在规定的网上投标时间内，凭CA证书登录“苏采云”系统在线编制投标文件（电子数据），并在投标截止时间之前上传投标文件。投标人应在达到开标时间后，使用CA数字证书解密各自投标文件。</w:t>
      </w:r>
    </w:p>
    <w:p w14:paraId="16120C2B">
      <w:pPr>
        <w:pStyle w:val="3"/>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1.2</w:t>
      </w:r>
      <w:r>
        <w:rPr>
          <w:rFonts w:hint="eastAsia"/>
          <w:color w:val="000000" w:themeColor="text1"/>
          <w:highlight w:val="none"/>
          <w14:textFill>
            <w14:solidFill>
              <w14:schemeClr w14:val="tx1"/>
            </w14:solidFill>
          </w14:textFill>
        </w:rPr>
        <w:t>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000000" w:themeColor="text1"/>
          <w:highlight w:val="none"/>
          <w:lang w:eastAsia="zh-CN"/>
          <w14:textFill>
            <w14:solidFill>
              <w14:schemeClr w14:val="tx1"/>
            </w14:solidFill>
          </w14:textFill>
        </w:rPr>
        <w:t>。</w:t>
      </w:r>
    </w:p>
    <w:p w14:paraId="0BC0D679">
      <w:pPr>
        <w:pStyle w:val="5"/>
        <w:numPr>
          <w:ilvl w:val="0"/>
          <w:numId w:val="24"/>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投标截止日期</w:t>
      </w:r>
      <w:bookmarkEnd w:id="71"/>
      <w:bookmarkEnd w:id="72"/>
      <w:bookmarkEnd w:id="73"/>
    </w:p>
    <w:p w14:paraId="63889BC4">
      <w:pPr>
        <w:pStyle w:val="3"/>
        <w:numPr>
          <w:ilvl w:val="0"/>
          <w:numId w:val="25"/>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投标人上传电子投标文件的时间不得迟于招标公告中规定的投标截止时间。</w:t>
      </w:r>
    </w:p>
    <w:p w14:paraId="2CA7D43D">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投标人应充分考虑网络环境、网络带宽等风险因素，如因投标人自身原因造成的电子投标文件上传不成功由投标人自行承担全部责任。</w:t>
      </w:r>
    </w:p>
    <w:p w14:paraId="42D28948">
      <w:pPr>
        <w:pStyle w:val="3"/>
        <w:numPr>
          <w:ilvl w:val="0"/>
          <w:numId w:val="25"/>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采购人或采购代理机构可以按照规定，通过修改招标文件酌情延长投标截止日期，在此情况下，投标人的所有权利和义务以及投标人受制的截止日期均应以延长后新的截止日期为准。</w:t>
      </w:r>
    </w:p>
    <w:p w14:paraId="5E8EDEA6">
      <w:pPr>
        <w:pStyle w:val="5"/>
        <w:numPr>
          <w:ilvl w:val="0"/>
          <w:numId w:val="24"/>
        </w:numPr>
        <w:tabs>
          <w:tab w:val="left" w:pos="781"/>
          <w:tab w:val="clear" w:pos="210"/>
        </w:tabs>
        <w:ind w:firstLine="482"/>
        <w:rPr>
          <w:color w:val="000000" w:themeColor="text1"/>
          <w:highlight w:val="none"/>
          <w14:textFill>
            <w14:solidFill>
              <w14:schemeClr w14:val="tx1"/>
            </w14:solidFill>
          </w14:textFill>
        </w:rPr>
      </w:pPr>
      <w:bookmarkStart w:id="74" w:name="_Toc16938543"/>
      <w:bookmarkStart w:id="75" w:name="_Toc513029227"/>
      <w:bookmarkStart w:id="76" w:name="_Toc20823299"/>
      <w:r>
        <w:rPr>
          <w:color w:val="000000" w:themeColor="text1"/>
          <w:highlight w:val="none"/>
          <w14:textFill>
            <w14:solidFill>
              <w14:schemeClr w14:val="tx1"/>
            </w14:solidFill>
          </w14:textFill>
        </w:rPr>
        <w:t>投标文件的加密要求：</w:t>
      </w:r>
    </w:p>
    <w:p w14:paraId="60F1C0AA">
      <w:pPr>
        <w:pStyle w:val="3"/>
        <w:numPr>
          <w:ilvl w:val="0"/>
          <w:numId w:val="26"/>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投标人应当按照采购文件和“苏采云”系统的要求编制并加密响应文件。本项目投标人须通过“苏采云”系统提供的政府采购客户端工具（使用“CA数字证书”）对其数据电文形式的投标文件加密。</w:t>
      </w:r>
    </w:p>
    <w:p w14:paraId="06E01F0D">
      <w:pPr>
        <w:pStyle w:val="3"/>
        <w:numPr>
          <w:ilvl w:val="0"/>
          <w:numId w:val="26"/>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投标人须通过“苏采云”系统提供的政府采购客户端工具（使用“CA数字证书”）加盖电子签章。</w:t>
      </w:r>
    </w:p>
    <w:p w14:paraId="65AE2B28">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说明：投标人应使用CA数字证书以及自备的能够登录“苏采云”系统的笔记本电脑，在达到开标时间后，使用CA数字证书解密各自投标文件。</w:t>
      </w:r>
    </w:p>
    <w:p w14:paraId="5C4F14E4">
      <w:pPr>
        <w:pStyle w:val="3"/>
        <w:numPr>
          <w:ilvl w:val="0"/>
          <w:numId w:val="26"/>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投标人未按规定加密的投标文件，“苏采云”系统应当拒收并提示。</w:t>
      </w:r>
    </w:p>
    <w:p w14:paraId="5E246C50">
      <w:pPr>
        <w:pStyle w:val="5"/>
        <w:numPr>
          <w:ilvl w:val="0"/>
          <w:numId w:val="24"/>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投标文件</w:t>
      </w:r>
      <w:bookmarkEnd w:id="74"/>
      <w:bookmarkEnd w:id="75"/>
      <w:bookmarkEnd w:id="76"/>
      <w:r>
        <w:rPr>
          <w:color w:val="000000" w:themeColor="text1"/>
          <w:highlight w:val="none"/>
          <w14:textFill>
            <w14:solidFill>
              <w14:schemeClr w14:val="tx1"/>
            </w14:solidFill>
          </w14:textFill>
        </w:rPr>
        <w:t>的拒收</w:t>
      </w:r>
    </w:p>
    <w:p w14:paraId="10CDEE55">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4.1采购人或采购代理机构拒绝接收在其规定的投标截止时间后上传的任何投标文件。</w:t>
      </w:r>
    </w:p>
    <w:p w14:paraId="1091EAF3">
      <w:pPr>
        <w:pStyle w:val="5"/>
        <w:numPr>
          <w:ilvl w:val="0"/>
          <w:numId w:val="24"/>
        </w:numPr>
        <w:tabs>
          <w:tab w:val="left" w:pos="781"/>
          <w:tab w:val="clear" w:pos="210"/>
        </w:tabs>
        <w:ind w:firstLine="482"/>
        <w:rPr>
          <w:color w:val="000000" w:themeColor="text1"/>
          <w:highlight w:val="none"/>
          <w14:textFill>
            <w14:solidFill>
              <w14:schemeClr w14:val="tx1"/>
            </w14:solidFill>
          </w14:textFill>
        </w:rPr>
      </w:pPr>
      <w:bookmarkStart w:id="77" w:name="_Toc20823300"/>
      <w:bookmarkStart w:id="78" w:name="_Toc513029228"/>
      <w:bookmarkStart w:id="79" w:name="_Toc16938544"/>
      <w:r>
        <w:rPr>
          <w:color w:val="000000" w:themeColor="text1"/>
          <w:highlight w:val="none"/>
          <w14:textFill>
            <w14:solidFill>
              <w14:schemeClr w14:val="tx1"/>
            </w14:solidFill>
          </w14:textFill>
        </w:rPr>
        <w:t>投标文件的撤回和修改</w:t>
      </w:r>
      <w:bookmarkEnd w:id="77"/>
      <w:bookmarkEnd w:id="78"/>
      <w:bookmarkEnd w:id="79"/>
    </w:p>
    <w:p w14:paraId="0CFF690B">
      <w:pPr>
        <w:pStyle w:val="3"/>
        <w:numPr>
          <w:ilvl w:val="0"/>
          <w:numId w:val="27"/>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投标文件的撤回</w:t>
      </w:r>
    </w:p>
    <w:p w14:paraId="1224DDED">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5.1.1电子投标文件的撤回</w:t>
      </w:r>
    </w:p>
    <w:p w14:paraId="0E8619D7">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投标人可在投标截止时间前，撤回其电子投标文件，具体操作方法见CA办理指南及“苏采云”操作手册，可至江苏省政府采购网—办事指南－资料下载中心下载。</w:t>
      </w:r>
    </w:p>
    <w:p w14:paraId="4B7ABEC5">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5.1.2投标人撤回电子投标文件，则认为其不再参与本项目投标活动。</w:t>
      </w:r>
    </w:p>
    <w:p w14:paraId="13A6733F">
      <w:pPr>
        <w:pStyle w:val="3"/>
        <w:numPr>
          <w:ilvl w:val="0"/>
          <w:numId w:val="27"/>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投标文件的修改</w:t>
      </w:r>
    </w:p>
    <w:p w14:paraId="0ED77A34">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投标人可在投标截止时间前，对其电子投标文件进行修改。</w:t>
      </w:r>
    </w:p>
    <w:p w14:paraId="56382BCF">
      <w:pPr>
        <w:pStyle w:val="3"/>
        <w:numPr>
          <w:ilvl w:val="0"/>
          <w:numId w:val="27"/>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在投标截止时间之后，投标人不得对其电子投标文件作任何修改。</w:t>
      </w:r>
    </w:p>
    <w:p w14:paraId="3B56CD75">
      <w:pPr>
        <w:pStyle w:val="3"/>
        <w:numPr>
          <w:ilvl w:val="0"/>
          <w:numId w:val="27"/>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在投标截止时间至招标文件中规定的投标有效期满之间的这段时间内，投标人不得撤回其投标。</w:t>
      </w:r>
    </w:p>
    <w:p w14:paraId="6B9C3E71">
      <w:pPr>
        <w:pStyle w:val="4"/>
        <w:numPr>
          <w:ilvl w:val="0"/>
          <w:numId w:val="12"/>
        </w:numPr>
        <w:tabs>
          <w:tab w:val="left" w:pos="963"/>
        </w:tabs>
        <w:ind w:firstLine="482"/>
        <w:rPr>
          <w:rFonts w:hint="eastAsia"/>
          <w:color w:val="000000" w:themeColor="text1"/>
          <w:highlight w:val="none"/>
          <w14:textFill>
            <w14:solidFill>
              <w14:schemeClr w14:val="tx1"/>
            </w14:solidFill>
          </w14:textFill>
        </w:rPr>
      </w:pPr>
      <w:bookmarkStart w:id="80" w:name="_Toc16938545"/>
      <w:bookmarkStart w:id="81" w:name="_Toc513029229"/>
      <w:bookmarkStart w:id="82" w:name="_Toc20823301"/>
      <w:bookmarkStart w:id="83" w:name="_Toc120614218"/>
      <w:r>
        <w:rPr>
          <w:color w:val="000000" w:themeColor="text1"/>
          <w:highlight w:val="none"/>
          <w14:textFill>
            <w14:solidFill>
              <w14:schemeClr w14:val="tx1"/>
            </w14:solidFill>
          </w14:textFill>
        </w:rPr>
        <w:t>开标与评标</w:t>
      </w:r>
      <w:bookmarkEnd w:id="80"/>
      <w:bookmarkEnd w:id="81"/>
      <w:bookmarkEnd w:id="82"/>
      <w:bookmarkEnd w:id="83"/>
    </w:p>
    <w:p w14:paraId="3EF9C5C9">
      <w:pPr>
        <w:pStyle w:val="5"/>
        <w:numPr>
          <w:ilvl w:val="0"/>
          <w:numId w:val="28"/>
        </w:numPr>
        <w:tabs>
          <w:tab w:val="left" w:pos="781"/>
          <w:tab w:val="clear" w:pos="210"/>
        </w:tabs>
        <w:ind w:firstLine="482"/>
        <w:rPr>
          <w:color w:val="000000" w:themeColor="text1"/>
          <w:highlight w:val="none"/>
          <w14:textFill>
            <w14:solidFill>
              <w14:schemeClr w14:val="tx1"/>
            </w14:solidFill>
          </w14:textFill>
        </w:rPr>
      </w:pPr>
      <w:bookmarkStart w:id="84" w:name="_Toc513029230"/>
      <w:bookmarkStart w:id="85" w:name="_Toc20823302"/>
      <w:bookmarkStart w:id="86" w:name="_Toc16938546"/>
      <w:r>
        <w:rPr>
          <w:color w:val="000000" w:themeColor="text1"/>
          <w:highlight w:val="none"/>
          <w14:textFill>
            <w14:solidFill>
              <w14:schemeClr w14:val="tx1"/>
            </w14:solidFill>
          </w14:textFill>
        </w:rPr>
        <w:t>开标</w:t>
      </w:r>
      <w:bookmarkEnd w:id="84"/>
      <w:bookmarkEnd w:id="85"/>
      <w:bookmarkEnd w:id="86"/>
    </w:p>
    <w:p w14:paraId="17F93701">
      <w:pPr>
        <w:pStyle w:val="3"/>
        <w:numPr>
          <w:ilvl w:val="0"/>
          <w:numId w:val="29"/>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采购人或采购代理机构将在招标公告中规定的时间和地点组织公开开标。</w:t>
      </w:r>
    </w:p>
    <w:p w14:paraId="0B480A97">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p>
    <w:p w14:paraId="32679AF6">
      <w:pPr>
        <w:pStyle w:val="3"/>
        <w:numPr>
          <w:ilvl w:val="0"/>
          <w:numId w:val="29"/>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开标仪式由采购代理机构组织，在不见面交易系统中进行开标，并公布各投标人的《开标一览表》。</w:t>
      </w:r>
    </w:p>
    <w:p w14:paraId="2C4514FB">
      <w:pPr>
        <w:pStyle w:val="5"/>
        <w:numPr>
          <w:ilvl w:val="0"/>
          <w:numId w:val="28"/>
        </w:numPr>
        <w:tabs>
          <w:tab w:val="left" w:pos="781"/>
          <w:tab w:val="clear" w:pos="210"/>
        </w:tabs>
        <w:ind w:firstLine="482"/>
        <w:rPr>
          <w:color w:val="000000" w:themeColor="text1"/>
          <w:highlight w:val="none"/>
          <w14:textFill>
            <w14:solidFill>
              <w14:schemeClr w14:val="tx1"/>
            </w14:solidFill>
          </w14:textFill>
        </w:rPr>
      </w:pPr>
      <w:bookmarkStart w:id="87" w:name="_Toc20823303"/>
      <w:bookmarkStart w:id="88" w:name="_Toc16938547"/>
      <w:bookmarkStart w:id="89" w:name="_Toc513029231"/>
      <w:r>
        <w:rPr>
          <w:color w:val="000000" w:themeColor="text1"/>
          <w:highlight w:val="none"/>
          <w14:textFill>
            <w14:solidFill>
              <w14:schemeClr w14:val="tx1"/>
            </w14:solidFill>
          </w14:textFill>
        </w:rPr>
        <w:t>评标委员会</w:t>
      </w:r>
    </w:p>
    <w:p w14:paraId="725444CD">
      <w:pPr>
        <w:pStyle w:val="3"/>
        <w:numPr>
          <w:ilvl w:val="0"/>
          <w:numId w:val="30"/>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开标后，采购人或采购代理机构将立即组织评标委员会（以下简称评委会）进行评标。</w:t>
      </w:r>
    </w:p>
    <w:p w14:paraId="2325A0F2">
      <w:pPr>
        <w:pStyle w:val="3"/>
        <w:numPr>
          <w:ilvl w:val="0"/>
          <w:numId w:val="30"/>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评委会由采购人代表和有关技术、经济等方面的专家组成，且人员构成符合政府采购有关规定。</w:t>
      </w:r>
    </w:p>
    <w:p w14:paraId="17255041">
      <w:pPr>
        <w:pStyle w:val="3"/>
        <w:numPr>
          <w:ilvl w:val="0"/>
          <w:numId w:val="30"/>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评委会独立工作，负责评审所有投标文件并确定中标候选人。</w:t>
      </w:r>
    </w:p>
    <w:p w14:paraId="158848E9">
      <w:pPr>
        <w:pStyle w:val="5"/>
        <w:numPr>
          <w:ilvl w:val="0"/>
          <w:numId w:val="28"/>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评标过程的保密与公正</w:t>
      </w:r>
      <w:bookmarkEnd w:id="87"/>
      <w:bookmarkEnd w:id="88"/>
      <w:bookmarkEnd w:id="89"/>
    </w:p>
    <w:p w14:paraId="504D082A">
      <w:pPr>
        <w:pStyle w:val="3"/>
        <w:numPr>
          <w:ilvl w:val="0"/>
          <w:numId w:val="31"/>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公开开标后，直至向中标的投标人授予合同时止，凡是与审查、澄清、评价和比较投标的有关资料以及授标建议等，采购人、评委、采购代理机构均不得向投标人或与评标无关的其他人员透露。</w:t>
      </w:r>
    </w:p>
    <w:p w14:paraId="43C6AEE7">
      <w:pPr>
        <w:pStyle w:val="3"/>
        <w:numPr>
          <w:ilvl w:val="0"/>
          <w:numId w:val="31"/>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在评标过程中，投标人不得以任何行为影响评标过程，否则其投标文件将被作为无效投标文件。</w:t>
      </w:r>
    </w:p>
    <w:p w14:paraId="32472935">
      <w:pPr>
        <w:pStyle w:val="3"/>
        <w:numPr>
          <w:ilvl w:val="0"/>
          <w:numId w:val="31"/>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在评标期间，采购代理机构将设专门人员与投标人联系。</w:t>
      </w:r>
    </w:p>
    <w:p w14:paraId="6B26FF44">
      <w:pPr>
        <w:pStyle w:val="3"/>
        <w:numPr>
          <w:ilvl w:val="0"/>
          <w:numId w:val="31"/>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采购人或采购代理机构和评标委员会不向未中标的投标人解释未中标原因，也不公布评标过程中的相关细节。</w:t>
      </w:r>
    </w:p>
    <w:p w14:paraId="2EDB490D">
      <w:pPr>
        <w:pStyle w:val="3"/>
        <w:numPr>
          <w:ilvl w:val="0"/>
          <w:numId w:val="31"/>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采用综合评分法的项目，公布评标结果时一并公布所有投标人的评审得分及排序情况。</w:t>
      </w:r>
    </w:p>
    <w:p w14:paraId="5C240C73">
      <w:pPr>
        <w:pStyle w:val="5"/>
        <w:numPr>
          <w:ilvl w:val="0"/>
          <w:numId w:val="28"/>
        </w:numPr>
        <w:tabs>
          <w:tab w:val="left" w:pos="781"/>
          <w:tab w:val="clear" w:pos="210"/>
        </w:tabs>
        <w:ind w:firstLine="482"/>
        <w:rPr>
          <w:color w:val="000000" w:themeColor="text1"/>
          <w:highlight w:val="none"/>
          <w14:textFill>
            <w14:solidFill>
              <w14:schemeClr w14:val="tx1"/>
            </w14:solidFill>
          </w14:textFill>
        </w:rPr>
      </w:pPr>
      <w:bookmarkStart w:id="90" w:name="_Toc513029232"/>
      <w:bookmarkStart w:id="91" w:name="_Toc16938548"/>
      <w:bookmarkStart w:id="92" w:name="_Toc20823304"/>
      <w:r>
        <w:rPr>
          <w:color w:val="000000" w:themeColor="text1"/>
          <w:highlight w:val="none"/>
          <w14:textFill>
            <w14:solidFill>
              <w14:schemeClr w14:val="tx1"/>
            </w14:solidFill>
          </w14:textFill>
        </w:rPr>
        <w:t>投标的澄清</w:t>
      </w:r>
      <w:bookmarkEnd w:id="90"/>
      <w:bookmarkEnd w:id="91"/>
      <w:bookmarkEnd w:id="92"/>
    </w:p>
    <w:p w14:paraId="50E15BAE">
      <w:pPr>
        <w:pStyle w:val="3"/>
        <w:numPr>
          <w:ilvl w:val="0"/>
          <w:numId w:val="32"/>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评标期间，为有助于对投标文件的审查、评价和比较，评委会有权以电子函件形式要求投标人对其投标文件进行澄清，但并非对每个投标人都作澄清要求。</w:t>
      </w:r>
    </w:p>
    <w:p w14:paraId="7E790D74">
      <w:pPr>
        <w:pStyle w:val="3"/>
        <w:numPr>
          <w:ilvl w:val="0"/>
          <w:numId w:val="32"/>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接到评委会澄清要求的投标人应派人按评委会规定的时间和格式在“苏采云系统”中做出澄清，澄清的内容作为投标文件的补充部分，但投标的价格和实质性的内容不得做任何更改。</w:t>
      </w:r>
    </w:p>
    <w:p w14:paraId="1FC3CBCF">
      <w:pPr>
        <w:pStyle w:val="3"/>
        <w:numPr>
          <w:ilvl w:val="0"/>
          <w:numId w:val="32"/>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接到评委会澄清要求的投标人如未按规定作出澄清，其风险由投标人自行承担。</w:t>
      </w:r>
    </w:p>
    <w:p w14:paraId="7A4969C3">
      <w:pPr>
        <w:pStyle w:val="5"/>
        <w:numPr>
          <w:ilvl w:val="0"/>
          <w:numId w:val="28"/>
        </w:numPr>
        <w:tabs>
          <w:tab w:val="left" w:pos="781"/>
          <w:tab w:val="clear" w:pos="210"/>
        </w:tabs>
        <w:ind w:firstLine="482"/>
        <w:rPr>
          <w:color w:val="000000" w:themeColor="text1"/>
          <w:highlight w:val="none"/>
          <w14:textFill>
            <w14:solidFill>
              <w14:schemeClr w14:val="tx1"/>
            </w14:solidFill>
          </w14:textFill>
        </w:rPr>
      </w:pPr>
      <w:bookmarkStart w:id="93" w:name="_Toc20823305"/>
      <w:bookmarkStart w:id="94" w:name="_Toc16938549"/>
      <w:bookmarkStart w:id="95" w:name="_Toc513029233"/>
      <w:r>
        <w:rPr>
          <w:color w:val="000000" w:themeColor="text1"/>
          <w:highlight w:val="none"/>
          <w14:textFill>
            <w14:solidFill>
              <w14:schemeClr w14:val="tx1"/>
            </w14:solidFill>
          </w14:textFill>
        </w:rPr>
        <w:t>对投标文件的初审</w:t>
      </w:r>
      <w:bookmarkEnd w:id="93"/>
      <w:bookmarkEnd w:id="94"/>
      <w:bookmarkEnd w:id="95"/>
    </w:p>
    <w:p w14:paraId="34893600">
      <w:pPr>
        <w:pStyle w:val="3"/>
        <w:numPr>
          <w:ilvl w:val="0"/>
          <w:numId w:val="3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投标文件初审分为资格审查和符合性审查。</w:t>
      </w:r>
    </w:p>
    <w:p w14:paraId="246F8F81">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5.1.1资格审查：依据法律法规和招标文件的规定</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详见招标文件第一、第六部分要求</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，由采购人对投标文件中的资格证明文件进行审查。资格审查的结论，采购人以书面形式向评委会进行反馈。</w:t>
      </w:r>
    </w:p>
    <w:p w14:paraId="5A43465F">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采购人在进行资格审查的同时，评标委员会从“信用中国”网站查询供应商的信用记录，以确定供应商是否具备参加</w:t>
      </w:r>
      <w:r>
        <w:rPr>
          <w:rFonts w:hint="eastAsia"/>
          <w:color w:val="000000" w:themeColor="text1"/>
          <w:highlight w:val="none"/>
          <w14:textFill>
            <w14:solidFill>
              <w14:schemeClr w14:val="tx1"/>
            </w14:solidFill>
          </w14:textFill>
        </w:rPr>
        <w:t>本项目投标</w:t>
      </w:r>
      <w:r>
        <w:rPr>
          <w:color w:val="000000" w:themeColor="text1"/>
          <w:highlight w:val="none"/>
          <w14:textFill>
            <w14:solidFill>
              <w14:schemeClr w14:val="tx1"/>
            </w14:solidFill>
          </w14:textFill>
        </w:rPr>
        <w:t>的资格。</w:t>
      </w:r>
      <w:r>
        <w:rPr>
          <w:rFonts w:hint="eastAsia"/>
          <w:color w:val="000000" w:themeColor="text1"/>
          <w:highlight w:val="none"/>
          <w14:textFill>
            <w14:solidFill>
              <w14:schemeClr w14:val="tx1"/>
            </w14:solidFill>
          </w14:textFill>
        </w:rPr>
        <w:t>查询结果将在“苏采云”系统中上传并归档。</w:t>
      </w:r>
    </w:p>
    <w:p w14:paraId="684CD2FE">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7E9D7E4C">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5.1.2符合性审查：依据招标文件的规定，由评委会从投标文件的有效性、完整性和对招标文件的响应程度进行审查，以确定是否对招标文件的实质性要求作出响应。</w:t>
      </w:r>
    </w:p>
    <w:tbl>
      <w:tblPr>
        <w:tblStyle w:val="62"/>
        <w:tblW w:w="504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298"/>
        <w:gridCol w:w="4299"/>
      </w:tblGrid>
      <w:tr w14:paraId="2EDC30F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single" w:color="auto" w:sz="6" w:space="0"/>
              <w:left w:val="single" w:color="auto" w:sz="6" w:space="0"/>
              <w:bottom w:val="single" w:color="auto" w:sz="6" w:space="0"/>
              <w:right w:val="single" w:color="auto" w:sz="6" w:space="0"/>
            </w:tcBorders>
            <w:noWrap w:val="0"/>
            <w:vAlign w:val="center"/>
          </w:tcPr>
          <w:p w14:paraId="5B4EFB3F">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符合性审查因素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3486A6D5">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审查标准</w:t>
            </w:r>
          </w:p>
        </w:tc>
      </w:tr>
      <w:tr w14:paraId="31FF31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3502B11B">
            <w:pPr>
              <w:jc w:val="center"/>
              <w:rPr>
                <w:rFonts w:hint="default" w:eastAsia="宋体"/>
                <w:color w:val="000000" w:themeColor="text1"/>
                <w:sz w:val="24"/>
                <w:szCs w:val="32"/>
                <w:highlight w:val="none"/>
                <w:lang w:val="en-US" w:eastAsia="zh-CN"/>
                <w14:textFill>
                  <w14:solidFill>
                    <w14:schemeClr w14:val="tx1"/>
                  </w14:solidFill>
                </w14:textFill>
              </w:rPr>
            </w:pPr>
            <w:bookmarkStart w:id="96" w:name="_Hlk196921993"/>
            <w:r>
              <w:rPr>
                <w:rFonts w:hint="eastAsia"/>
                <w:color w:val="000000" w:themeColor="text1"/>
                <w:sz w:val="24"/>
                <w:szCs w:val="32"/>
                <w:highlight w:val="none"/>
                <w14:textFill>
                  <w14:solidFill>
                    <w14:schemeClr w14:val="tx1"/>
                  </w14:solidFill>
                </w14:textFill>
              </w:rPr>
              <w:t>投标函</w:t>
            </w:r>
            <w:r>
              <w:rPr>
                <w:rFonts w:hint="eastAsia"/>
                <w:color w:val="000000" w:themeColor="text1"/>
                <w:sz w:val="24"/>
                <w:szCs w:val="32"/>
                <w:highlight w:val="none"/>
                <w:lang w:val="en-US" w:eastAsia="zh-CN"/>
                <w14:textFill>
                  <w14:solidFill>
                    <w14:schemeClr w14:val="tx1"/>
                  </w14:solidFill>
                </w14:textFill>
              </w:rPr>
              <w:t>及其他招标文件第六部分要求提供的格式文件</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4FDCD57">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符合招标文件要求</w:t>
            </w:r>
          </w:p>
        </w:tc>
      </w:tr>
      <w:bookmarkEnd w:id="96"/>
      <w:tr w14:paraId="7BE3E9F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59F672A0">
            <w:pPr>
              <w:jc w:val="center"/>
              <w:rPr>
                <w:color w:val="000000" w:themeColor="text1"/>
                <w:sz w:val="24"/>
                <w:szCs w:val="32"/>
                <w:highlight w:val="none"/>
                <w14:textFill>
                  <w14:solidFill>
                    <w14:schemeClr w14:val="tx1"/>
                  </w14:solidFill>
                </w14:textFill>
              </w:rPr>
            </w:pPr>
            <w:bookmarkStart w:id="97" w:name="_Hlk196922000"/>
            <w:r>
              <w:rPr>
                <w:rFonts w:hint="eastAsia"/>
                <w:color w:val="000000" w:themeColor="text1"/>
                <w:sz w:val="24"/>
                <w:szCs w:val="32"/>
                <w:highlight w:val="none"/>
                <w14:textFill>
                  <w14:solidFill>
                    <w14:schemeClr w14:val="tx1"/>
                  </w14:solidFill>
                </w14:textFill>
              </w:rPr>
              <w:t>投标文件签署、盖章齐全完整</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9E14729">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符合招标文件要求</w:t>
            </w:r>
          </w:p>
        </w:tc>
      </w:tr>
      <w:tr w14:paraId="484D75D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43152B5F">
            <w:pPr>
              <w:jc w:val="center"/>
              <w:rPr>
                <w:rFonts w:hint="eastAsia"/>
                <w:color w:val="000000" w:themeColor="text1"/>
                <w:sz w:val="24"/>
                <w:szCs w:val="32"/>
                <w:highlight w:val="none"/>
                <w14:textFill>
                  <w14:solidFill>
                    <w14:schemeClr w14:val="tx1"/>
                  </w14:solidFill>
                </w14:textFill>
              </w:rPr>
            </w:pPr>
            <w:bookmarkStart w:id="98" w:name="_Hlk198712051"/>
            <w:r>
              <w:rPr>
                <w:rFonts w:hint="eastAsia"/>
                <w:color w:val="000000" w:themeColor="text1"/>
                <w:sz w:val="24"/>
                <w:szCs w:val="32"/>
                <w:highlight w:val="none"/>
                <w14:textFill>
                  <w14:solidFill>
                    <w14:schemeClr w14:val="tx1"/>
                  </w14:solidFill>
                </w14:textFill>
              </w:rPr>
              <w:t>投标人委托授权代表投标的，须提供法定代表人（或组织负责人）授权书及授权代表身份证（扫描件）；法定代表人（或组织负责人）本人参与投标的，提供法定代表人（或组织负责人）身份证明书及法定代表人身份证（扫描件）</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93E7E61">
            <w:pPr>
              <w:jc w:val="center"/>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符合招标文件要求</w:t>
            </w:r>
          </w:p>
        </w:tc>
      </w:tr>
      <w:bookmarkEnd w:id="97"/>
      <w:tr w14:paraId="229AB76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064DB163">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投标有效期</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0CA165E">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符合招标文件要求</w:t>
            </w:r>
          </w:p>
        </w:tc>
      </w:tr>
      <w:bookmarkEnd w:id="98"/>
      <w:tr w14:paraId="0BD960A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29D71164">
            <w:pPr>
              <w:jc w:val="center"/>
              <w:rPr>
                <w:color w:val="000000" w:themeColor="text1"/>
                <w:sz w:val="24"/>
                <w:szCs w:val="32"/>
                <w:highlight w:val="none"/>
                <w14:textFill>
                  <w14:solidFill>
                    <w14:schemeClr w14:val="tx1"/>
                  </w14:solidFill>
                </w14:textFill>
              </w:rPr>
            </w:pPr>
            <w:bookmarkStart w:id="99" w:name="_Hlk196922013"/>
            <w:r>
              <w:rPr>
                <w:rFonts w:hint="eastAsia"/>
                <w:color w:val="000000" w:themeColor="text1"/>
                <w:sz w:val="24"/>
                <w:szCs w:val="32"/>
                <w:highlight w:val="none"/>
                <w14:textFill>
                  <w14:solidFill>
                    <w14:schemeClr w14:val="tx1"/>
                  </w14:solidFill>
                </w14:textFill>
              </w:rPr>
              <w:t>项目需求中的实质性要求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1034E83">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符合招标文件要求</w:t>
            </w:r>
          </w:p>
        </w:tc>
      </w:tr>
      <w:bookmarkEnd w:id="99"/>
    </w:tbl>
    <w:p w14:paraId="387E8DCD">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5.1.3未通过资格审查或符合性审查的投标人，采购人或采购代理机构将在苏采云系统中告知未通过资格审查或符合性审查的原因，评审结束后，采购人或采购代理机构将不再告知未通过资格审查或符合性审查的原因。</w:t>
      </w:r>
    </w:p>
    <w:p w14:paraId="5A8BAD76">
      <w:pPr>
        <w:pStyle w:val="3"/>
        <w:numPr>
          <w:ilvl w:val="0"/>
          <w:numId w:val="3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在详细评标之前，评委会将首先审查每份投标文件是否实质性响应了招标文件的要求。实质性响应的投标应该是与招标文件要求的全部条款、条件和规格相符，没有重大偏离或保留的投标。</w:t>
      </w:r>
    </w:p>
    <w:p w14:paraId="0516B105">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B3F704F">
      <w:pPr>
        <w:pStyle w:val="3"/>
        <w:numPr>
          <w:ilvl w:val="0"/>
          <w:numId w:val="3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如果投标文件实质上没有响应招标文件的要求，评委会将予以拒绝，投标人不得通过修改或撤销不符合要求的偏离或保留而使其投标成为实质性响应的投标。</w:t>
      </w:r>
    </w:p>
    <w:p w14:paraId="61C20C0F">
      <w:pPr>
        <w:pStyle w:val="3"/>
        <w:numPr>
          <w:ilvl w:val="0"/>
          <w:numId w:val="3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评委会将对确定为实质性响应的投标进行进一步审核，看其是否有计算上或累加上的算术错误，修正错误的原则如下：</w:t>
      </w:r>
    </w:p>
    <w:p w14:paraId="39AFEAD1">
      <w:pPr>
        <w:pStyle w:val="3"/>
        <w:numPr>
          <w:ilvl w:val="0"/>
          <w:numId w:val="34"/>
        </w:numPr>
        <w:tabs>
          <w:tab w:val="left" w:pos="108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投标文件中开标一览表内容与投标文件中相应内容不一致的，以开标一览表为准。</w:t>
      </w:r>
    </w:p>
    <w:p w14:paraId="61198A9F">
      <w:pPr>
        <w:pStyle w:val="3"/>
        <w:numPr>
          <w:ilvl w:val="0"/>
          <w:numId w:val="34"/>
        </w:numPr>
        <w:tabs>
          <w:tab w:val="left" w:pos="108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大写金额和小写金额不一致的，以大写金额为准。</w:t>
      </w:r>
    </w:p>
    <w:p w14:paraId="0EB1CBAC">
      <w:pPr>
        <w:pStyle w:val="3"/>
        <w:numPr>
          <w:ilvl w:val="0"/>
          <w:numId w:val="34"/>
        </w:numPr>
        <w:tabs>
          <w:tab w:val="left" w:pos="108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单价金额小数点或者百分比有明显错位的，以开标一览表的总价为准，并修改单价。</w:t>
      </w:r>
    </w:p>
    <w:p w14:paraId="77B423A4">
      <w:pPr>
        <w:pStyle w:val="3"/>
        <w:numPr>
          <w:ilvl w:val="0"/>
          <w:numId w:val="34"/>
        </w:numPr>
        <w:tabs>
          <w:tab w:val="left" w:pos="108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6260328A">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同时出现两种以上错误的，按照前款规定的顺序修正。</w:t>
      </w:r>
    </w:p>
    <w:p w14:paraId="5BC4806F">
      <w:pPr>
        <w:pStyle w:val="3"/>
        <w:numPr>
          <w:ilvl w:val="0"/>
          <w:numId w:val="3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评委会将按上述修正错误的方法调整投标文件中的投标报价，并通过苏采云系统告知投标人，调整后的价格对投标人具有约束力。如果投标人不接受修正后的价格，则其投标将被拒绝。</w:t>
      </w:r>
    </w:p>
    <w:p w14:paraId="2A31462B">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评委会将允许修正投标文件中不构成重大偏离的、微小的、非正规的、不一致的或不规则的地方，但这些修改不能影响任何投标人相应的名次排列。</w:t>
      </w:r>
    </w:p>
    <w:p w14:paraId="773BEFB4">
      <w:pPr>
        <w:pStyle w:val="3"/>
        <w:numPr>
          <w:ilvl w:val="0"/>
          <w:numId w:val="3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30F7C67">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非单一产品采购项目，招标文件中将载明其中的核心产品。多家投标人提供的核心产品品牌相同的，按前两款规定处理。</w:t>
      </w:r>
    </w:p>
    <w:p w14:paraId="156F88D1">
      <w:pPr>
        <w:pStyle w:val="3"/>
        <w:numPr>
          <w:ilvl w:val="0"/>
          <w:numId w:val="33"/>
        </w:numPr>
        <w:tabs>
          <w:tab w:val="left" w:pos="900"/>
          <w:tab w:val="clear" w:pos="210"/>
        </w:tabs>
        <w:rPr>
          <w:color w:val="000000" w:themeColor="text1"/>
          <w:highlight w:val="none"/>
          <w14:textFill>
            <w14:solidFill>
              <w14:schemeClr w14:val="tx1"/>
            </w14:solidFill>
          </w14:textFill>
        </w:rPr>
      </w:pPr>
      <w:bookmarkStart w:id="100" w:name="_Toc20823306"/>
      <w:bookmarkStart w:id="101" w:name="_Toc16938550"/>
      <w:bookmarkStart w:id="102" w:name="_Toc513029234"/>
      <w:r>
        <w:rPr>
          <w:color w:val="000000" w:themeColor="text1"/>
          <w:highlight w:val="none"/>
          <w14:textFill>
            <w14:solidFill>
              <w14:schemeClr w14:val="tx1"/>
            </w14:solidFill>
          </w14:textFill>
        </w:rPr>
        <w:t>投标人在开、评标全过程中应</w:t>
      </w:r>
      <w:r>
        <w:rPr>
          <w:rFonts w:hint="eastAsia"/>
          <w:color w:val="000000" w:themeColor="text1"/>
          <w:highlight w:val="none"/>
          <w14:textFill>
            <w14:solidFill>
              <w14:schemeClr w14:val="tx1"/>
            </w14:solidFill>
          </w14:textFill>
        </w:rPr>
        <w:t>保持通信畅通</w:t>
      </w:r>
      <w:r>
        <w:rPr>
          <w:color w:val="000000" w:themeColor="text1"/>
          <w:highlight w:val="none"/>
          <w14:textFill>
            <w14:solidFill>
              <w14:schemeClr w14:val="tx1"/>
            </w14:solidFill>
          </w14:textFill>
        </w:rPr>
        <w:t>，并安排专人与采购人或采购代理机构及评标委员会联系。</w:t>
      </w:r>
      <w:bookmarkEnd w:id="100"/>
      <w:bookmarkEnd w:id="101"/>
      <w:bookmarkEnd w:id="102"/>
    </w:p>
    <w:p w14:paraId="126D3370">
      <w:pPr>
        <w:pStyle w:val="5"/>
        <w:numPr>
          <w:ilvl w:val="0"/>
          <w:numId w:val="28"/>
        </w:numPr>
        <w:tabs>
          <w:tab w:val="left" w:pos="781"/>
          <w:tab w:val="clear" w:pos="210"/>
        </w:tabs>
        <w:ind w:firstLine="482"/>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无效投标条款和废标条款</w:t>
      </w:r>
    </w:p>
    <w:p w14:paraId="60444655">
      <w:pPr>
        <w:pStyle w:val="3"/>
        <w:numPr>
          <w:ilvl w:val="0"/>
          <w:numId w:val="35"/>
        </w:numPr>
        <w:tabs>
          <w:tab w:val="left" w:pos="900"/>
          <w:tab w:val="clear" w:pos="210"/>
        </w:tabs>
        <w:rPr>
          <w:color w:val="000000" w:themeColor="text1"/>
          <w:highlight w:val="none"/>
          <w14:textFill>
            <w14:solidFill>
              <w14:schemeClr w14:val="tx1"/>
            </w14:solidFill>
          </w14:textFill>
        </w:rPr>
      </w:pPr>
      <w:bookmarkStart w:id="103" w:name="_Toc20823307"/>
      <w:bookmarkStart w:id="104" w:name="_Toc16938551"/>
      <w:bookmarkStart w:id="105" w:name="_Toc513029235"/>
      <w:r>
        <w:rPr>
          <w:color w:val="000000" w:themeColor="text1"/>
          <w:highlight w:val="none"/>
          <w14:textFill>
            <w14:solidFill>
              <w14:schemeClr w14:val="tx1"/>
            </w14:solidFill>
          </w14:textFill>
        </w:rPr>
        <w:t>无效投标条款</w:t>
      </w:r>
    </w:p>
    <w:p w14:paraId="1688CC29">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6.1.1投标人在规定的时间内未成功解密电子投标文件的。</w:t>
      </w:r>
    </w:p>
    <w:p w14:paraId="249C2F65">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6.1.2投标人未按照招标文件要求上传电子投标文件的。</w:t>
      </w:r>
    </w:p>
    <w:p w14:paraId="5A06D3D8">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6.1.3同一投标人提交两个（含两个）以上不同的投标报价的。</w:t>
      </w:r>
    </w:p>
    <w:p w14:paraId="032A07CD">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6.1.4投标人不具备招标文件中规定的资格要求</w:t>
      </w:r>
      <w:r>
        <w:rPr>
          <w:rFonts w:hint="eastAsia"/>
          <w:color w:val="000000" w:themeColor="text1"/>
          <w:highlight w:val="none"/>
          <w14:textFill>
            <w14:solidFill>
              <w14:schemeClr w14:val="tx1"/>
            </w14:solidFill>
          </w14:textFill>
        </w:rPr>
        <w:t>或投标文件未按招标文件规定提供资格证明文件</w:t>
      </w:r>
      <w:r>
        <w:rPr>
          <w:color w:val="000000" w:themeColor="text1"/>
          <w:highlight w:val="none"/>
          <w14:textFill>
            <w14:solidFill>
              <w14:schemeClr w14:val="tx1"/>
            </w14:solidFill>
          </w14:textFill>
        </w:rPr>
        <w:t>的。</w:t>
      </w:r>
    </w:p>
    <w:p w14:paraId="01154594">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6.1.5投标人的报价超过了采购预算或最高限价的。</w:t>
      </w:r>
    </w:p>
    <w:p w14:paraId="2E73E608">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6.1.6未通过符合性检查的。</w:t>
      </w:r>
    </w:p>
    <w:p w14:paraId="3DE1AF1E">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6.1.7不符合招标文件中规定的其他实质性要求和条件的。</w:t>
      </w:r>
      <w:r>
        <w:rPr>
          <w:rFonts w:hint="eastAsia"/>
          <w:color w:val="000000" w:themeColor="text1"/>
          <w:highlight w:val="none"/>
          <w14:textFill>
            <w14:solidFill>
              <w14:schemeClr w14:val="tx1"/>
            </w14:solidFill>
          </w14:textFill>
        </w:rPr>
        <w:t>（</w:t>
      </w:r>
      <w:r>
        <w:rPr>
          <w:rFonts w:hint="eastAsia" w:hAnsi="宋体" w:cs="宋体"/>
          <w:color w:val="000000" w:themeColor="text1"/>
          <w:highlight w:val="none"/>
          <w14:textFill>
            <w14:solidFill>
              <w14:schemeClr w14:val="tx1"/>
            </w14:solidFill>
          </w14:textFill>
        </w:rPr>
        <w:t>实质性要求和条件包括但不限于加注“</w:t>
      </w:r>
      <w:r>
        <w:rPr>
          <w:rFonts w:hAnsi="宋体" w:cs="宋体"/>
          <w:color w:val="000000" w:themeColor="text1"/>
          <w:highlight w:val="none"/>
          <w14:textFill>
            <w14:solidFill>
              <w14:schemeClr w14:val="tx1"/>
            </w14:solidFill>
          </w14:textFill>
        </w:rPr>
        <w:t>*</w:t>
      </w:r>
      <w:r>
        <w:rPr>
          <w:rFonts w:hint="eastAsia" w:hAnsi="宋体" w:cs="宋体"/>
          <w:color w:val="000000" w:themeColor="text1"/>
          <w:highlight w:val="none"/>
          <w14:textFill>
            <w14:solidFill>
              <w14:schemeClr w14:val="tx1"/>
            </w14:solidFill>
          </w14:textFill>
        </w:rPr>
        <w:t>”“★”号、带有</w:t>
      </w:r>
      <w:r>
        <w:rPr>
          <w:rFonts w:hint="eastAsia" w:hAnsi="宋体" w:cs="宋体"/>
          <w:color w:val="000000" w:themeColor="text1"/>
          <w:highlight w:val="none"/>
          <w:u w:val="single"/>
          <w14:textFill>
            <w14:solidFill>
              <w14:schemeClr w14:val="tx1"/>
            </w14:solidFill>
          </w14:textFill>
        </w:rPr>
        <w:t>下划线</w:t>
      </w:r>
      <w:r>
        <w:rPr>
          <w:rFonts w:hint="eastAsia" w:hAnsi="宋体" w:cs="宋体"/>
          <w:color w:val="000000" w:themeColor="text1"/>
          <w:highlight w:val="none"/>
          <w14:textFill>
            <w14:solidFill>
              <w14:schemeClr w14:val="tx1"/>
            </w14:solidFill>
          </w14:textFill>
        </w:rPr>
        <w:t>的条款或其他可能对本项目产生实质性影响的条款</w:t>
      </w:r>
      <w:r>
        <w:rPr>
          <w:rFonts w:hint="eastAsia"/>
          <w:color w:val="000000" w:themeColor="text1"/>
          <w:highlight w:val="none"/>
          <w14:textFill>
            <w14:solidFill>
              <w14:schemeClr w14:val="tx1"/>
            </w14:solidFill>
          </w14:textFill>
        </w:rPr>
        <w:t>）</w:t>
      </w:r>
    </w:p>
    <w:p w14:paraId="5B038FC2">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57E60EE7">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6.1.9投标文件含有采购人不能接受的附加条件的。</w:t>
      </w:r>
    </w:p>
    <w:p w14:paraId="79171337">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6.1.10评标委员会认为投标人的报价明显低于其他通过符合性审查的投标人的报价，有可能影响产品质量或者不能诚信履约的，通过苏采云系统要求其在合理的时间内提供说明</w:t>
      </w:r>
      <w:r>
        <w:rPr>
          <w:rFonts w:hint="eastAsia"/>
          <w:color w:val="000000" w:themeColor="text1"/>
          <w:highlight w:val="none"/>
          <w14:textFill>
            <w14:solidFill>
              <w14:schemeClr w14:val="tx1"/>
            </w14:solidFill>
          </w14:textFill>
        </w:rPr>
        <w:t>并</w:t>
      </w:r>
      <w:r>
        <w:rPr>
          <w:color w:val="000000" w:themeColor="text1"/>
          <w:highlight w:val="none"/>
          <w14:textFill>
            <w14:solidFill>
              <w14:schemeClr w14:val="tx1"/>
            </w14:solidFill>
          </w14:textFill>
        </w:rPr>
        <w:t>提交相关证明材料；投标人</w:t>
      </w:r>
      <w:r>
        <w:rPr>
          <w:rFonts w:hint="eastAsia"/>
          <w:color w:val="000000" w:themeColor="text1"/>
          <w:highlight w:val="none"/>
          <w14:textFill>
            <w14:solidFill>
              <w14:schemeClr w14:val="tx1"/>
            </w14:solidFill>
          </w14:textFill>
        </w:rPr>
        <w:t>未响应或</w:t>
      </w:r>
      <w:r>
        <w:rPr>
          <w:color w:val="000000" w:themeColor="text1"/>
          <w:highlight w:val="none"/>
          <w14:textFill>
            <w14:solidFill>
              <w14:schemeClr w14:val="tx1"/>
            </w14:solidFill>
          </w14:textFill>
        </w:rPr>
        <w:t>不能证明其报价合理性的，评标委员会应当将其作为无效投标处理。</w:t>
      </w:r>
    </w:p>
    <w:p w14:paraId="05BCF941">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6.1.1</w:t>
      </w:r>
      <w:r>
        <w:rPr>
          <w:rFonts w:hint="eastAsia"/>
          <w:color w:val="000000" w:themeColor="text1"/>
          <w:highlight w:val="none"/>
          <w:lang w:val="en-US" w:eastAsia="zh-CN"/>
          <w14:textFill>
            <w14:solidFill>
              <w14:schemeClr w14:val="tx1"/>
            </w14:solidFill>
          </w14:textFill>
        </w:rPr>
        <w:t>1</w:t>
      </w:r>
      <w:r>
        <w:rPr>
          <w:color w:val="000000" w:themeColor="text1"/>
          <w:highlight w:val="none"/>
          <w14:textFill>
            <w14:solidFill>
              <w14:schemeClr w14:val="tx1"/>
            </w14:solidFill>
          </w14:textFill>
        </w:rPr>
        <w:t>投标文件未按照招标文件要求加盖电子签章</w:t>
      </w:r>
      <w:r>
        <w:rPr>
          <w:rFonts w:hint="eastAsia"/>
          <w:color w:val="000000" w:themeColor="text1"/>
          <w:highlight w:val="none"/>
          <w14:textFill>
            <w14:solidFill>
              <w14:schemeClr w14:val="tx1"/>
            </w14:solidFill>
          </w14:textFill>
        </w:rPr>
        <w:t>、签字的</w:t>
      </w:r>
      <w:r>
        <w:rPr>
          <w:color w:val="000000" w:themeColor="text1"/>
          <w:highlight w:val="none"/>
          <w14:textFill>
            <w14:solidFill>
              <w14:schemeClr w14:val="tx1"/>
            </w14:solidFill>
          </w14:textFill>
        </w:rPr>
        <w:t>。</w:t>
      </w:r>
    </w:p>
    <w:p w14:paraId="42D9418B">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6.1.1</w:t>
      </w:r>
      <w:r>
        <w:rPr>
          <w:rFonts w:hint="eastAsia"/>
          <w:color w:val="000000" w:themeColor="text1"/>
          <w:highlight w:val="none"/>
          <w:lang w:val="en-US" w:eastAsia="zh-CN"/>
          <w14:textFill>
            <w14:solidFill>
              <w14:schemeClr w14:val="tx1"/>
            </w14:solidFill>
          </w14:textFill>
        </w:rPr>
        <w:t>2</w:t>
      </w:r>
      <w:r>
        <w:rPr>
          <w:color w:val="000000" w:themeColor="text1"/>
          <w:highlight w:val="none"/>
          <w14:textFill>
            <w14:solidFill>
              <w14:schemeClr w14:val="tx1"/>
            </w14:solidFill>
          </w14:textFill>
        </w:rPr>
        <w:t>不同的投标人投标文件制作机器码、文件创建标识码一致的。</w:t>
      </w:r>
    </w:p>
    <w:p w14:paraId="73F78D43">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6.1.1</w:t>
      </w:r>
      <w:r>
        <w:rPr>
          <w:rFonts w:hint="eastAsia"/>
          <w:color w:val="000000" w:themeColor="text1"/>
          <w:highlight w:val="none"/>
          <w:lang w:val="en-US" w:eastAsia="zh-CN"/>
          <w14:textFill>
            <w14:solidFill>
              <w14:schemeClr w14:val="tx1"/>
            </w14:solidFill>
          </w14:textFill>
        </w:rPr>
        <w:t>3</w:t>
      </w:r>
      <w:r>
        <w:rPr>
          <w:color w:val="000000" w:themeColor="text1"/>
          <w:highlight w:val="none"/>
          <w14:textFill>
            <w14:solidFill>
              <w14:schemeClr w14:val="tx1"/>
            </w14:solidFill>
          </w14:textFill>
        </w:rPr>
        <w:t>投标人的商务、技术部分得分相差异常悬殊，评标委员会一致认为得分畸低者有可能影响产品质量或者不能诚信履约的。</w:t>
      </w:r>
    </w:p>
    <w:p w14:paraId="77B0E7FF">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6.1.1</w:t>
      </w:r>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其他法律法规及本招标文件规定的无效投标的情形。</w:t>
      </w:r>
    </w:p>
    <w:p w14:paraId="504C7CCE">
      <w:pPr>
        <w:pStyle w:val="3"/>
        <w:numPr>
          <w:ilvl w:val="0"/>
          <w:numId w:val="35"/>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废标条款：</w:t>
      </w:r>
    </w:p>
    <w:p w14:paraId="230FDD75">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6.2.1符合专业条件的供应商或者对招标文件作出实质响应的供应商不足三家的。</w:t>
      </w:r>
    </w:p>
    <w:p w14:paraId="5101B433">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6.2.2出现影响采购公正的违法、违规行为的。</w:t>
      </w:r>
    </w:p>
    <w:p w14:paraId="1876D748">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6.2.3因重大变故，采购任务取消的。</w:t>
      </w:r>
    </w:p>
    <w:p w14:paraId="066DB5E3">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6.2.4评标委员会认定招标文件存在歧义、重大缺陷导致评审工作无法进行。</w:t>
      </w:r>
    </w:p>
    <w:p w14:paraId="26AAFB1D">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6.2.5因系统故障原因造成开标不成功的。</w:t>
      </w:r>
    </w:p>
    <w:p w14:paraId="699B6D5C">
      <w:pPr>
        <w:pStyle w:val="3"/>
        <w:numPr>
          <w:ilvl w:val="0"/>
          <w:numId w:val="35"/>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投标截止时间结束后参加投标的供应商不足三家的处理：如出现投标截止时间结束后参加投标的供应商或者在评标期间对招标文件做出实质响应的供应商不足三家情况，按政府采购相关规定执行。</w:t>
      </w:r>
    </w:p>
    <w:p w14:paraId="3B7117BE">
      <w:pPr>
        <w:pStyle w:val="5"/>
        <w:numPr>
          <w:ilvl w:val="0"/>
          <w:numId w:val="28"/>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投标文件线上格式要求</w:t>
      </w:r>
    </w:p>
    <w:p w14:paraId="15D707D9">
      <w:pPr>
        <w:pStyle w:val="3"/>
        <w:numPr>
          <w:ilvl w:val="0"/>
          <w:numId w:val="36"/>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投标人应当通过“苏采云”系统提交数据电文形式的投标文件（即电子投标）。</w:t>
      </w:r>
    </w:p>
    <w:p w14:paraId="336BAA39">
      <w:pPr>
        <w:pStyle w:val="3"/>
        <w:numPr>
          <w:ilvl w:val="0"/>
          <w:numId w:val="36"/>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通过“苏采云”系统提交政府采购客户端工具导出加密的投标文件。</w:t>
      </w:r>
    </w:p>
    <w:p w14:paraId="1331ED3A">
      <w:pPr>
        <w:pStyle w:val="3"/>
        <w:numPr>
          <w:ilvl w:val="0"/>
          <w:numId w:val="36"/>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本项目采用线上投标，即投标人的投标文件从政府采购客户端工具制作通过“苏采云”系统提交，未提供线上投标文件的，投标无效。</w:t>
      </w:r>
      <w:bookmarkEnd w:id="103"/>
      <w:bookmarkEnd w:id="104"/>
      <w:bookmarkEnd w:id="105"/>
    </w:p>
    <w:p w14:paraId="02664812">
      <w:pPr>
        <w:pStyle w:val="4"/>
        <w:numPr>
          <w:ilvl w:val="0"/>
          <w:numId w:val="12"/>
        </w:numPr>
        <w:tabs>
          <w:tab w:val="left" w:pos="963"/>
        </w:tabs>
        <w:ind w:firstLine="482"/>
        <w:rPr>
          <w:rFonts w:hint="eastAsia"/>
          <w:color w:val="000000" w:themeColor="text1"/>
          <w:highlight w:val="none"/>
          <w14:textFill>
            <w14:solidFill>
              <w14:schemeClr w14:val="tx1"/>
            </w14:solidFill>
          </w14:textFill>
        </w:rPr>
      </w:pPr>
      <w:bookmarkStart w:id="106" w:name="_Toc120614219"/>
      <w:r>
        <w:rPr>
          <w:color w:val="000000" w:themeColor="text1"/>
          <w:highlight w:val="none"/>
          <w14:textFill>
            <w14:solidFill>
              <w14:schemeClr w14:val="tx1"/>
            </w14:solidFill>
          </w14:textFill>
        </w:rPr>
        <w:t>定标</w:t>
      </w:r>
      <w:bookmarkEnd w:id="106"/>
    </w:p>
    <w:p w14:paraId="057C3131">
      <w:pPr>
        <w:pStyle w:val="5"/>
        <w:numPr>
          <w:ilvl w:val="0"/>
          <w:numId w:val="37"/>
        </w:numPr>
        <w:tabs>
          <w:tab w:val="left" w:pos="781"/>
          <w:tab w:val="clear" w:pos="210"/>
        </w:tabs>
        <w:ind w:firstLine="482"/>
        <w:rPr>
          <w:color w:val="000000" w:themeColor="text1"/>
          <w:highlight w:val="none"/>
          <w14:textFill>
            <w14:solidFill>
              <w14:schemeClr w14:val="tx1"/>
            </w14:solidFill>
          </w14:textFill>
        </w:rPr>
      </w:pPr>
      <w:bookmarkStart w:id="107" w:name="_Toc20823310"/>
      <w:bookmarkStart w:id="108" w:name="_Toc16938554"/>
      <w:r>
        <w:rPr>
          <w:color w:val="000000" w:themeColor="text1"/>
          <w:highlight w:val="none"/>
          <w14:textFill>
            <w14:solidFill>
              <w14:schemeClr w14:val="tx1"/>
            </w14:solidFill>
          </w14:textFill>
        </w:rPr>
        <w:t>确定</w:t>
      </w:r>
      <w:bookmarkEnd w:id="107"/>
      <w:bookmarkEnd w:id="108"/>
      <w:r>
        <w:rPr>
          <w:color w:val="000000" w:themeColor="text1"/>
          <w:highlight w:val="none"/>
          <w14:textFill>
            <w14:solidFill>
              <w14:schemeClr w14:val="tx1"/>
            </w14:solidFill>
          </w14:textFill>
        </w:rPr>
        <w:t>中标单位</w:t>
      </w:r>
    </w:p>
    <w:p w14:paraId="1B49BA1A">
      <w:pPr>
        <w:pStyle w:val="3"/>
        <w:numPr>
          <w:ilvl w:val="0"/>
          <w:numId w:val="38"/>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中标候选人的选取原则和数量见招标文件第四部分规定。</w:t>
      </w:r>
    </w:p>
    <w:p w14:paraId="67D8E906">
      <w:pPr>
        <w:pStyle w:val="3"/>
        <w:numPr>
          <w:ilvl w:val="0"/>
          <w:numId w:val="38"/>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采购人应根据评标委员会推荐的中标候选人确定中标供应商。</w:t>
      </w:r>
    </w:p>
    <w:p w14:paraId="5A46A2D2">
      <w:pPr>
        <w:pStyle w:val="3"/>
        <w:numPr>
          <w:ilvl w:val="0"/>
          <w:numId w:val="38"/>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采购人或采购代理机构将在“江苏政府采购网”发布中标公告，公告期限为1个工作日。</w:t>
      </w:r>
    </w:p>
    <w:p w14:paraId="718F2C72">
      <w:pPr>
        <w:pStyle w:val="3"/>
        <w:numPr>
          <w:ilvl w:val="0"/>
          <w:numId w:val="38"/>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若有充分证据证明，中标人出现下列情况之一的，一经查实，将被取消中标资格：</w:t>
      </w:r>
    </w:p>
    <w:p w14:paraId="637CEDA0">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1.4.1提供虚假材料谋取中标的。</w:t>
      </w:r>
    </w:p>
    <w:p w14:paraId="63C93A05">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1.4.2向采购人或采购代理机构行贿或者评审专家提供其他不正当利益的。</w:t>
      </w:r>
    </w:p>
    <w:p w14:paraId="0B5B2A20">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1.4.3恶意竞争，投标总报价明显低于其自身合理成本且又无法提供证明的。</w:t>
      </w:r>
    </w:p>
    <w:p w14:paraId="16B37D5B">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1.4.4属于本文件规定的无效条件，但在评标过程中又未被评委会发现的。</w:t>
      </w:r>
    </w:p>
    <w:p w14:paraId="35E37573">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1.4.5与采购人或者其他供应商恶意串通的。</w:t>
      </w:r>
    </w:p>
    <w:p w14:paraId="7EC29D39">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1.4.6采取不正当手段诋毁、排挤其他供应商的。</w:t>
      </w:r>
    </w:p>
    <w:p w14:paraId="42B1BE80">
      <w:pPr>
        <w:pStyle w:val="3"/>
        <w:numPr>
          <w:ilvl w:val="0"/>
          <w:numId w:val="38"/>
        </w:numPr>
        <w:tabs>
          <w:tab w:val="left" w:pos="900"/>
          <w:tab w:val="clear" w:pos="210"/>
        </w:tabs>
        <w:rPr>
          <w:color w:val="000000" w:themeColor="text1"/>
          <w:highlight w:val="none"/>
          <w14:textFill>
            <w14:solidFill>
              <w14:schemeClr w14:val="tx1"/>
            </w14:solidFill>
          </w14:textFill>
        </w:rPr>
      </w:pPr>
      <w:bookmarkStart w:id="109" w:name="_Toc200451960"/>
      <w:r>
        <w:rPr>
          <w:color w:val="000000" w:themeColor="text1"/>
          <w:highlight w:val="none"/>
          <w14:textFill>
            <w14:solidFill>
              <w14:schemeClr w14:val="tx1"/>
            </w14:solidFill>
          </w14:textFill>
        </w:rPr>
        <w:t>有下列情形之一的，视为投标人串通投标，投标无效：</w:t>
      </w:r>
    </w:p>
    <w:p w14:paraId="34EE61E1">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1.5.1不同投标人的投标文件由同一单位或者个人编制；</w:t>
      </w:r>
    </w:p>
    <w:p w14:paraId="638BA012">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1.5.2不同投标人委托同一单位或者个人办理投标事宜；</w:t>
      </w:r>
    </w:p>
    <w:p w14:paraId="3B808F8E">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1.5.3不同投标人的投标文件载明的项目管理成员或者联系人员为同一人；</w:t>
      </w:r>
    </w:p>
    <w:p w14:paraId="7A79246C">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1.5.4不同投标人的投标文件异常一致或者投标报价呈规律性差异；</w:t>
      </w:r>
    </w:p>
    <w:p w14:paraId="18896121">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1.5.5不同投标人的投标文件相互混装；</w:t>
      </w:r>
    </w:p>
    <w:p w14:paraId="0BB4CECD">
      <w:pPr>
        <w:pStyle w:val="5"/>
        <w:numPr>
          <w:ilvl w:val="0"/>
          <w:numId w:val="37"/>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w:t>
      </w:r>
      <w:bookmarkEnd w:id="109"/>
      <w:r>
        <w:rPr>
          <w:color w:val="000000" w:themeColor="text1"/>
          <w:highlight w:val="none"/>
          <w14:textFill>
            <w14:solidFill>
              <w14:schemeClr w14:val="tx1"/>
            </w14:solidFill>
          </w14:textFill>
        </w:rPr>
        <w:t>与投诉</w:t>
      </w:r>
    </w:p>
    <w:p w14:paraId="6D7E467B">
      <w:pPr>
        <w:pStyle w:val="3"/>
        <w:numPr>
          <w:ilvl w:val="0"/>
          <w:numId w:val="39"/>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提出质疑的供应商应当是参与所质疑项目采购活动的供应商。潜在供应商依法获取其可质疑的采购文件的，可以对采购文件提出质疑。</w:t>
      </w:r>
    </w:p>
    <w:p w14:paraId="211A7D76">
      <w:pPr>
        <w:pStyle w:val="3"/>
        <w:numPr>
          <w:ilvl w:val="0"/>
          <w:numId w:val="39"/>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和采购结果使自己的权益受到损害的，可以在知道或应知其权益受到损害之日起七个工作日内，以书面形式向采购人或采购代理机构提出质疑。上述应知其权益受到损害之日，是指：</w:t>
      </w:r>
    </w:p>
    <w:p w14:paraId="30719705">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2.2.1对可以质疑的采购文件提出质疑的，为收到采购文件之日或者采购文件公告期限届满之日；</w:t>
      </w:r>
    </w:p>
    <w:p w14:paraId="4E924F89">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2.2.2对采购过程提出质疑的，为各采购程序环节结束之日；</w:t>
      </w:r>
    </w:p>
    <w:p w14:paraId="6BE4FF1A">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2.2.3对中标或者成交结果提出质疑的，为中标或者成交结果公告期限届满之日。</w:t>
      </w:r>
    </w:p>
    <w:p w14:paraId="047441AD">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供应商应当在法定质疑期内一次性提出针对同一采购程序环节的质疑。</w:t>
      </w:r>
    </w:p>
    <w:p w14:paraId="58F3F209">
      <w:pPr>
        <w:pStyle w:val="3"/>
        <w:numPr>
          <w:ilvl w:val="0"/>
          <w:numId w:val="39"/>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质疑函必须按照本招标文件中《质疑函范本》要求的格式和内容进行填写。供应商如组成联合体参加投标，则《质疑函范本》中要求签字、盖章、加盖公章之处，联合体各方均须按要求签字、盖章、加盖公章。</w:t>
      </w:r>
    </w:p>
    <w:p w14:paraId="7D53D205">
      <w:pPr>
        <w:pStyle w:val="3"/>
        <w:numPr>
          <w:ilvl w:val="0"/>
          <w:numId w:val="39"/>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质疑答复依据《政府采购质疑和投诉办法》（财政部令第94号）。</w:t>
      </w:r>
    </w:p>
    <w:p w14:paraId="3E88D2F5">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采购人质疑接收人及联系方式，见招标文件第一部分。</w:t>
      </w:r>
    </w:p>
    <w:p w14:paraId="59CC2F7C">
      <w:pPr>
        <w:pStyle w:val="3"/>
        <w:numPr>
          <w:ilvl w:val="0"/>
          <w:numId w:val="39"/>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以下情形的质疑不予受理</w:t>
      </w:r>
    </w:p>
    <w:p w14:paraId="6F0CCB8E">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2.5.1内容不符合《政府采购质疑和投诉办法》第十二条规定的质疑。</w:t>
      </w:r>
    </w:p>
    <w:p w14:paraId="630DA0DC">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2.5.2超出政府采购法定期限的质疑。</w:t>
      </w:r>
    </w:p>
    <w:p w14:paraId="3C854D8E">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2.5.3未参加投标活动的供应商或在投标活动中自身权益未受到损害的供应商所提出的质疑。</w:t>
      </w:r>
    </w:p>
    <w:p w14:paraId="4B46D315">
      <w:pPr>
        <w:pStyle w:val="3"/>
        <w:tabs>
          <w:tab w:val="left" w:pos="480"/>
        </w:tabs>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2.5.4供应商组成联合体参加投标，联合体中任何一方或多方未按要求签字、盖章、加盖公章的质疑。</w:t>
      </w:r>
    </w:p>
    <w:p w14:paraId="10DBF668">
      <w:pPr>
        <w:pStyle w:val="3"/>
        <w:numPr>
          <w:ilvl w:val="0"/>
          <w:numId w:val="39"/>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4A27455">
      <w:pPr>
        <w:pStyle w:val="3"/>
        <w:numPr>
          <w:ilvl w:val="0"/>
          <w:numId w:val="39"/>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p>
    <w:p w14:paraId="268191D9">
      <w:pPr>
        <w:pStyle w:val="5"/>
        <w:numPr>
          <w:ilvl w:val="0"/>
          <w:numId w:val="37"/>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中标通知书</w:t>
      </w:r>
    </w:p>
    <w:p w14:paraId="5A6389AC">
      <w:pPr>
        <w:pStyle w:val="3"/>
        <w:numPr>
          <w:ilvl w:val="0"/>
          <w:numId w:val="40"/>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中标结果确定后，采购人或采购代理机构将向中标供应商发出中标通知书。</w:t>
      </w:r>
    </w:p>
    <w:p w14:paraId="3CB83C36">
      <w:pPr>
        <w:pStyle w:val="3"/>
        <w:numPr>
          <w:ilvl w:val="0"/>
          <w:numId w:val="40"/>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中标通知书将是合同的一个组成部分。对采购人和中标供应商均具有法律效力。中标通知书发出后，采购人改变中标结果的，或者中标供应商放弃中标项目的，应当依法承担法律责任。</w:t>
      </w:r>
    </w:p>
    <w:p w14:paraId="2CD92065">
      <w:pPr>
        <w:pStyle w:val="4"/>
        <w:numPr>
          <w:ilvl w:val="0"/>
          <w:numId w:val="12"/>
        </w:numPr>
        <w:tabs>
          <w:tab w:val="left" w:pos="963"/>
        </w:tabs>
        <w:ind w:firstLine="482"/>
        <w:rPr>
          <w:rFonts w:hint="eastAsia"/>
          <w:color w:val="000000" w:themeColor="text1"/>
          <w:highlight w:val="none"/>
          <w14:textFill>
            <w14:solidFill>
              <w14:schemeClr w14:val="tx1"/>
            </w14:solidFill>
          </w14:textFill>
        </w:rPr>
      </w:pPr>
      <w:bookmarkStart w:id="110" w:name="_Toc20823308"/>
      <w:bookmarkStart w:id="111" w:name="_Toc16938552"/>
      <w:bookmarkStart w:id="112" w:name="_Toc513029236"/>
      <w:bookmarkStart w:id="113" w:name="_Toc120614220"/>
      <w:r>
        <w:rPr>
          <w:color w:val="000000" w:themeColor="text1"/>
          <w:highlight w:val="none"/>
          <w14:textFill>
            <w14:solidFill>
              <w14:schemeClr w14:val="tx1"/>
            </w14:solidFill>
          </w14:textFill>
        </w:rPr>
        <w:t>授予合同</w:t>
      </w:r>
      <w:bookmarkEnd w:id="110"/>
      <w:bookmarkEnd w:id="111"/>
      <w:bookmarkEnd w:id="112"/>
      <w:bookmarkEnd w:id="113"/>
    </w:p>
    <w:p w14:paraId="0107AA6E">
      <w:pPr>
        <w:pStyle w:val="5"/>
        <w:numPr>
          <w:ilvl w:val="0"/>
          <w:numId w:val="41"/>
        </w:numPr>
        <w:tabs>
          <w:tab w:val="left" w:pos="781"/>
          <w:tab w:val="clear" w:pos="210"/>
        </w:tabs>
        <w:ind w:firstLine="482"/>
        <w:rPr>
          <w:color w:val="000000" w:themeColor="text1"/>
          <w:highlight w:val="none"/>
          <w14:textFill>
            <w14:solidFill>
              <w14:schemeClr w14:val="tx1"/>
            </w14:solidFill>
          </w14:textFill>
        </w:rPr>
      </w:pPr>
      <w:bookmarkStart w:id="114" w:name="_Toc16938553"/>
      <w:bookmarkStart w:id="115" w:name="_Toc513029237"/>
      <w:bookmarkStart w:id="116" w:name="_Toc20823309"/>
      <w:r>
        <w:rPr>
          <w:color w:val="000000" w:themeColor="text1"/>
          <w:highlight w:val="none"/>
          <w14:textFill>
            <w14:solidFill>
              <w14:schemeClr w14:val="tx1"/>
            </w14:solidFill>
          </w14:textFill>
        </w:rPr>
        <w:t>签订合同</w:t>
      </w:r>
    </w:p>
    <w:p w14:paraId="2FA4B23C">
      <w:pPr>
        <w:pStyle w:val="3"/>
        <w:numPr>
          <w:ilvl w:val="0"/>
          <w:numId w:val="42"/>
        </w:numPr>
        <w:tabs>
          <w:tab w:val="left" w:pos="900"/>
        </w:tabs>
        <w:ind w:left="0" w:leftChars="0"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中标人应当在中标通知书发出之日起三十日内，按照招标文件确定的事项与采购人签订政府采购合同。</w:t>
      </w:r>
    </w:p>
    <w:p w14:paraId="0CCC9A0A">
      <w:pPr>
        <w:pStyle w:val="3"/>
        <w:numPr>
          <w:ilvl w:val="0"/>
          <w:numId w:val="42"/>
        </w:numPr>
        <w:tabs>
          <w:tab w:val="left" w:pos="900"/>
        </w:tabs>
        <w:ind w:left="0" w:leftChars="0"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招标文件、中标人的投标文件及招标过程中有关澄清、承诺文件均应作为合同附件。</w:t>
      </w:r>
    </w:p>
    <w:p w14:paraId="39A4ED30">
      <w:pPr>
        <w:pStyle w:val="3"/>
        <w:numPr>
          <w:ilvl w:val="0"/>
          <w:numId w:val="42"/>
        </w:numPr>
        <w:tabs>
          <w:tab w:val="left" w:pos="900"/>
        </w:tabs>
        <w:ind w:left="0" w:leftChars="0"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p>
    <w:p w14:paraId="01DFDE58">
      <w:pPr>
        <w:pStyle w:val="5"/>
        <w:numPr>
          <w:ilvl w:val="0"/>
          <w:numId w:val="41"/>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货物和服务的追加、减少和添购</w:t>
      </w:r>
    </w:p>
    <w:p w14:paraId="4088BE94">
      <w:pPr>
        <w:pStyle w:val="3"/>
        <w:numPr>
          <w:ilvl w:val="0"/>
          <w:numId w:val="4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政府采购合同履行中，采购人需追加与合同标的相同的货物和服务的，在不改变合同其他条款的前提下，可以与中标人协商签订补充合同，但所有补充合同的采购金额不超过原合同金额的10%。</w:t>
      </w:r>
    </w:p>
    <w:p w14:paraId="0B5F860E">
      <w:pPr>
        <w:pStyle w:val="3"/>
        <w:numPr>
          <w:ilvl w:val="0"/>
          <w:numId w:val="43"/>
        </w:numPr>
        <w:tabs>
          <w:tab w:val="left" w:pos="90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采购结束后，采购人若由于各种客观原因，必须对采购项目所牵涉的货物和服务进行适当的减少时，在双方协商一致的前提下，可以按照招标采购时的价格水平做相应的调减，并据此签订补充合同。</w:t>
      </w:r>
      <w:bookmarkEnd w:id="114"/>
      <w:bookmarkEnd w:id="115"/>
      <w:bookmarkEnd w:id="116"/>
    </w:p>
    <w:p w14:paraId="6CE9D54C">
      <w:pPr>
        <w:pStyle w:val="5"/>
        <w:numPr>
          <w:ilvl w:val="0"/>
          <w:numId w:val="41"/>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政府采购履约保证资金</w:t>
      </w:r>
    </w:p>
    <w:p w14:paraId="0BAEA358">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p>
    <w:p w14:paraId="395D3704">
      <w:pPr>
        <w:pStyle w:val="5"/>
        <w:numPr>
          <w:ilvl w:val="0"/>
          <w:numId w:val="41"/>
        </w:numPr>
        <w:tabs>
          <w:tab w:val="left" w:pos="781"/>
          <w:tab w:val="clear" w:pos="210"/>
        </w:tabs>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政府采购履约资金扶持政策</w:t>
      </w:r>
    </w:p>
    <w:p w14:paraId="6450B93C">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37A8DF6D">
      <w:pPr>
        <w:pBdr>
          <w:top w:val="none" w:color="000000" w:sz="0" w:space="0"/>
          <w:left w:val="none" w:color="000000" w:sz="0" w:space="0"/>
          <w:bottom w:val="none" w:color="000000" w:sz="0" w:space="0"/>
          <w:right w:val="none" w:color="000000" w:sz="0" w:space="0"/>
        </w:pBdr>
        <w:spacing w:line="499" w:lineRule="atLeast"/>
        <w:rPr>
          <w:color w:val="000000" w:themeColor="text1"/>
          <w:highlight w:val="none"/>
          <w14:textFill>
            <w14:solidFill>
              <w14:schemeClr w14:val="tx1"/>
            </w14:solidFill>
          </w14:textFill>
        </w:rPr>
      </w:pPr>
    </w:p>
    <w:p w14:paraId="4E09D551">
      <w:pPr>
        <w:pBdr>
          <w:top w:val="none" w:color="000000" w:sz="0" w:space="0"/>
          <w:left w:val="none" w:color="000000" w:sz="0" w:space="0"/>
          <w:bottom w:val="none" w:color="000000" w:sz="0" w:space="0"/>
          <w:right w:val="none" w:color="000000" w:sz="0" w:space="0"/>
        </w:pBdr>
        <w:spacing w:line="360" w:lineRule="auto"/>
        <w:rPr>
          <w:color w:val="000000" w:themeColor="text1"/>
          <w:highlight w:val="none"/>
          <w14:textFill>
            <w14:solidFill>
              <w14:schemeClr w14:val="tx1"/>
            </w14:solidFill>
          </w14:textFill>
        </w:rPr>
      </w:pPr>
    </w:p>
    <w:p w14:paraId="41033093">
      <w:pPr>
        <w:pStyle w:val="725"/>
        <w:tabs>
          <w:tab w:val="left" w:pos="640"/>
        </w:tabs>
        <w:ind w:firstLine="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第三部分  项目需求</w:t>
      </w:r>
    </w:p>
    <w:p w14:paraId="10A584D0">
      <w:pPr>
        <w:pStyle w:val="3"/>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p>
    <w:p w14:paraId="4AA67F43">
      <w:pPr>
        <w:pStyle w:val="3"/>
        <w:ind w:firstLine="482"/>
        <w:rPr>
          <w:rFonts w:hint="eastAsia" w:hAnsi="宋体"/>
          <w:color w:val="000000" w:themeColor="text1"/>
          <w:kern w:val="2"/>
          <w:sz w:val="24"/>
          <w:szCs w:val="24"/>
          <w:highlight w:val="none"/>
          <w:lang w:val="en-US" w:eastAsia="zh-CN"/>
          <w14:textFill>
            <w14:solidFill>
              <w14:schemeClr w14:val="tx1"/>
            </w14:solidFill>
          </w14:textFill>
        </w:rPr>
      </w:pPr>
      <w:r>
        <w:rPr>
          <w:b/>
          <w:color w:val="000000" w:themeColor="text1"/>
          <w:highlight w:val="none"/>
          <w14:textFill>
            <w14:solidFill>
              <w14:schemeClr w14:val="tx1"/>
            </w14:solidFill>
          </w14:textFill>
        </w:rPr>
        <w:t>投标人不能简单照搬照抄招标文件项目需求说明中的技术、商务要求，</w:t>
      </w:r>
      <w:r>
        <w:rPr>
          <w:rFonts w:hint="eastAsia"/>
          <w:b/>
          <w:color w:val="000000" w:themeColor="text1"/>
          <w:highlight w:val="none"/>
          <w14:textFill>
            <w14:solidFill>
              <w14:schemeClr w14:val="tx1"/>
            </w14:solidFill>
          </w14:textFill>
        </w:rPr>
        <w:t>必须</w:t>
      </w:r>
      <w:r>
        <w:rPr>
          <w:b/>
          <w:color w:val="000000" w:themeColor="text1"/>
          <w:highlight w:val="none"/>
          <w14:textFill>
            <w14:solidFill>
              <w14:schemeClr w14:val="tx1"/>
            </w14:solidFill>
          </w14:textFill>
        </w:rPr>
        <w:t>实事求是地响应。如投标人提供的货物和服务同采购人提出的项目需求说明中的技术、商务要求不同的，必须在《商务部分正负偏离表》和《技术部分正负偏离表》上明示</w:t>
      </w:r>
      <w:bookmarkEnd w:id="2"/>
      <w:bookmarkEnd w:id="3"/>
      <w:bookmarkEnd w:id="5"/>
      <w:r>
        <w:rPr>
          <w:b/>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本章节带有下划线</w:t>
      </w:r>
      <w:r>
        <w:rPr>
          <w:rFonts w:hint="eastAsia"/>
          <w:b/>
          <w:color w:val="000000" w:themeColor="text1"/>
          <w:highlight w:val="none"/>
          <w:u w:val="single"/>
          <w14:textFill>
            <w14:solidFill>
              <w14:schemeClr w14:val="tx1"/>
            </w14:solidFill>
          </w14:textFill>
        </w:rPr>
        <w:t>及加“</w:t>
      </w:r>
      <w:r>
        <w:rPr>
          <w:color w:val="000000" w:themeColor="text1"/>
          <w:highlight w:val="none"/>
          <w:u w:val="single"/>
          <w14:textFill>
            <w14:solidFill>
              <w14:schemeClr w14:val="tx1"/>
            </w14:solidFill>
          </w14:textFill>
        </w:rPr>
        <w:t>★</w:t>
      </w:r>
      <w:r>
        <w:rPr>
          <w:rFonts w:hint="eastAsia"/>
          <w:b/>
          <w:color w:val="000000" w:themeColor="text1"/>
          <w:highlight w:val="none"/>
          <w:u w:val="single"/>
          <w14:textFill>
            <w14:solidFill>
              <w14:schemeClr w14:val="tx1"/>
            </w14:solidFill>
          </w14:textFill>
        </w:rPr>
        <w:t>”</w:t>
      </w:r>
      <w:r>
        <w:rPr>
          <w:b/>
          <w:color w:val="000000" w:themeColor="text1"/>
          <w:highlight w:val="none"/>
          <w:u w:val="single"/>
          <w14:textFill>
            <w14:solidFill>
              <w14:schemeClr w14:val="tx1"/>
            </w14:solidFill>
          </w14:textFill>
        </w:rPr>
        <w:t>的内容为实质性要求，有任意一条负偏离的均按无效投标处理</w:t>
      </w:r>
      <w:r>
        <w:rPr>
          <w:b/>
          <w:color w:val="000000" w:themeColor="text1"/>
          <w:highlight w:val="none"/>
          <w14:textFill>
            <w14:solidFill>
              <w14:schemeClr w14:val="tx1"/>
            </w14:solidFill>
          </w14:textFill>
        </w:rPr>
        <w:t>。</w:t>
      </w:r>
    </w:p>
    <w:p w14:paraId="268E8664">
      <w:pPr>
        <w:keepNext w:val="0"/>
        <w:keepLines w:val="0"/>
        <w:pageBreakBefore w:val="0"/>
        <w:widowControl w:val="0"/>
        <w:numPr>
          <w:ilvl w:val="0"/>
          <w:numId w:val="0"/>
        </w:numPr>
        <w:spacing w:line="360" w:lineRule="auto"/>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lang w:val="en-US" w:eastAsia="zh-CN"/>
          <w14:textFill>
            <w14:solidFill>
              <w14:schemeClr w14:val="tx1"/>
            </w14:solidFill>
          </w14:textFill>
        </w:rPr>
        <w:t>一、</w:t>
      </w: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采购</w:t>
      </w:r>
      <w:r>
        <w:rPr>
          <w:rFonts w:hint="eastAsia" w:asciiTheme="minorEastAsia" w:hAnsiTheme="minorEastAsia" w:eastAsiaTheme="minorEastAsia" w:cstheme="minorEastAsia"/>
          <w:b/>
          <w:color w:val="000000" w:themeColor="text1"/>
          <w:sz w:val="28"/>
          <w:szCs w:val="28"/>
          <w:highlight w:val="none"/>
          <w:lang w:val="en-US" w:eastAsia="zh-CN"/>
          <w14:textFill>
            <w14:solidFill>
              <w14:schemeClr w14:val="tx1"/>
            </w14:solidFill>
          </w14:textFill>
        </w:rPr>
        <w:t>需求一览表</w:t>
      </w:r>
    </w:p>
    <w:tbl>
      <w:tblPr>
        <w:tblStyle w:val="62"/>
        <w:tblW w:w="88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80" w:type="dxa"/>
          <w:left w:w="102" w:type="dxa"/>
          <w:bottom w:w="80" w:type="dxa"/>
          <w:right w:w="102" w:type="dxa"/>
        </w:tblCellMar>
      </w:tblPr>
      <w:tblGrid>
        <w:gridCol w:w="1286"/>
        <w:gridCol w:w="804"/>
        <w:gridCol w:w="1499"/>
        <w:gridCol w:w="1770"/>
        <w:gridCol w:w="1287"/>
        <w:gridCol w:w="1287"/>
        <w:gridCol w:w="879"/>
      </w:tblGrid>
      <w:tr w14:paraId="203FD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trPr>
        <w:tc>
          <w:tcPr>
            <w:tcW w:w="1286" w:type="dxa"/>
            <w:tcBorders>
              <w:top w:val="single" w:color="000000" w:sz="4" w:space="0"/>
              <w:left w:val="single" w:color="000000" w:sz="4" w:space="0"/>
              <w:bottom w:val="single" w:color="000000" w:sz="4" w:space="0"/>
              <w:right w:val="single" w:color="000000" w:sz="4" w:space="0"/>
            </w:tcBorders>
            <w:noWrap w:val="0"/>
            <w:vAlign w:val="center"/>
          </w:tcPr>
          <w:p w14:paraId="5949AD38">
            <w:pPr>
              <w:keepNext w:val="0"/>
              <w:keepLines w:val="0"/>
              <w:widowControl/>
              <w:suppressLineNumbers w:val="0"/>
              <w:snapToGrid w:val="0"/>
              <w:spacing w:before="0" w:beforeAutospacing="0" w:after="0" w:afterAutospacing="0"/>
              <w:ind w:left="0" w:right="0"/>
              <w:jc w:val="left"/>
              <w:rPr>
                <w:rFonts w:hint="eastAsia" w:asciiTheme="minorEastAsia" w:hAnsiTheme="minorEastAsia" w:eastAsiaTheme="minorEastAsia" w:cstheme="minorEastAsia"/>
                <w:b/>
                <w:bCs/>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项目名称</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0CC1BAB">
            <w:pPr>
              <w:keepNext w:val="0"/>
              <w:keepLines w:val="0"/>
              <w:widowControl/>
              <w:suppressLineNumbers w:val="0"/>
              <w:snapToGrid w:val="0"/>
              <w:spacing w:before="0" w:beforeAutospacing="0" w:after="0" w:afterAutospacing="0"/>
              <w:ind w:left="0" w:leftChars="0" w:right="0" w:rightChars="0"/>
              <w:jc w:val="cente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数量</w:t>
            </w:r>
          </w:p>
        </w:tc>
        <w:tc>
          <w:tcPr>
            <w:tcW w:w="1499" w:type="dxa"/>
            <w:tcBorders>
              <w:top w:val="single" w:color="000000" w:sz="4" w:space="0"/>
              <w:left w:val="single" w:color="000000" w:sz="4" w:space="0"/>
              <w:bottom w:val="single" w:color="000000" w:sz="4" w:space="0"/>
              <w:right w:val="single" w:color="000000" w:sz="4" w:space="0"/>
            </w:tcBorders>
            <w:noWrap w:val="0"/>
            <w:vAlign w:val="center"/>
          </w:tcPr>
          <w:p w14:paraId="6260482E">
            <w:pPr>
              <w:keepNext w:val="0"/>
              <w:keepLines w:val="0"/>
              <w:widowControl/>
              <w:suppressLineNumbers w:val="0"/>
              <w:snapToGrid w:val="0"/>
              <w:spacing w:before="0" w:beforeAutospacing="0" w:after="0" w:afterAutospacing="0"/>
              <w:ind w:left="0" w:right="0"/>
              <w:jc w:val="center"/>
              <w:rPr>
                <w:rFonts w:hint="eastAsia" w:asciiTheme="minorEastAsia" w:hAnsiTheme="minorEastAsia" w:eastAsiaTheme="minorEastAsia" w:cstheme="minorEastAsia"/>
                <w:b/>
                <w:bCs/>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交货期</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007B6122">
            <w:pPr>
              <w:widowControl/>
              <w:snapToGrid w:val="0"/>
              <w:jc w:val="center"/>
              <w:textAlignment w:val="center"/>
              <w:rPr>
                <w:rFonts w:hint="eastAsia" w:asciiTheme="minorEastAsia" w:hAnsiTheme="minorEastAsia" w:eastAsiaTheme="minorEastAsia" w:cstheme="minorEastAsia"/>
                <w:b/>
                <w:bCs/>
                <w:color w:val="000000" w:themeColor="text1"/>
                <w:sz w:val="24"/>
                <w:szCs w:val="24"/>
                <w:highlight w:val="none"/>
                <w:lang w:val="en-US"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交货地点</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0EA83143">
            <w:pPr>
              <w:keepNext w:val="0"/>
              <w:keepLines w:val="0"/>
              <w:widowControl/>
              <w:suppressLineNumbers w:val="0"/>
              <w:snapToGrid w:val="0"/>
              <w:spacing w:before="0" w:beforeAutospacing="0" w:after="0" w:afterAutospacing="0"/>
              <w:ind w:left="0" w:right="0"/>
              <w:jc w:val="center"/>
              <w:rPr>
                <w:rFonts w:hint="eastAsia" w:asciiTheme="minorEastAsia" w:hAnsiTheme="minorEastAsia" w:eastAsiaTheme="minorEastAsia" w:cstheme="minorEastAsia"/>
                <w:b/>
                <w:bCs/>
                <w:color w:val="000000" w:themeColor="text1"/>
                <w:sz w:val="24"/>
                <w:szCs w:val="24"/>
                <w:highlight w:val="none"/>
                <w:lang w:val="en-US"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项目预算</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759E5107">
            <w:pPr>
              <w:keepNext w:val="0"/>
              <w:keepLines w:val="0"/>
              <w:widowControl/>
              <w:suppressLineNumbers w:val="0"/>
              <w:snapToGrid w:val="0"/>
              <w:spacing w:before="0" w:beforeAutospacing="0" w:after="0" w:afterAutospacing="0"/>
              <w:ind w:left="0" w:right="0"/>
              <w:jc w:val="cente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最高限价</w:t>
            </w:r>
          </w:p>
        </w:tc>
        <w:tc>
          <w:tcPr>
            <w:tcW w:w="879" w:type="dxa"/>
            <w:tcBorders>
              <w:top w:val="single" w:color="000000" w:sz="4" w:space="0"/>
              <w:left w:val="single" w:color="000000" w:sz="4" w:space="0"/>
              <w:bottom w:val="single" w:color="000000" w:sz="4" w:space="0"/>
              <w:right w:val="single" w:color="000000" w:sz="4" w:space="0"/>
            </w:tcBorders>
            <w:noWrap w:val="0"/>
            <w:vAlign w:val="center"/>
          </w:tcPr>
          <w:p w14:paraId="6B4E8C71">
            <w:pPr>
              <w:keepNext w:val="0"/>
              <w:keepLines w:val="0"/>
              <w:widowControl/>
              <w:suppressLineNumbers w:val="0"/>
              <w:snapToGrid w:val="0"/>
              <w:spacing w:before="0" w:beforeAutospacing="0" w:after="0" w:afterAutospacing="0"/>
              <w:ind w:left="0" w:right="0"/>
              <w:jc w:val="center"/>
              <w:rPr>
                <w:rFonts w:hint="default"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免费保修期</w:t>
            </w:r>
          </w:p>
        </w:tc>
      </w:tr>
      <w:tr w14:paraId="1EE4A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1739" w:hRule="atLeast"/>
        </w:trPr>
        <w:tc>
          <w:tcPr>
            <w:tcW w:w="1286" w:type="dxa"/>
            <w:tcBorders>
              <w:top w:val="single" w:color="000000" w:sz="4" w:space="0"/>
              <w:left w:val="single" w:color="000000" w:sz="4" w:space="0"/>
              <w:bottom w:val="single" w:color="000000" w:sz="4" w:space="0"/>
              <w:right w:val="single" w:color="000000" w:sz="4" w:space="0"/>
            </w:tcBorders>
            <w:noWrap w:val="0"/>
            <w:vAlign w:val="center"/>
          </w:tcPr>
          <w:p w14:paraId="17FCFB80">
            <w:pPr>
              <w:keepNext w:val="0"/>
              <w:keepLines w:val="0"/>
              <w:widowControl/>
              <w:suppressLineNumbers w:val="0"/>
              <w:snapToGrid w:val="0"/>
              <w:spacing w:before="0" w:beforeAutospacing="0" w:after="0" w:afterAutospacing="0"/>
              <w:ind w:left="0" w:right="0"/>
              <w:jc w:val="center"/>
              <w:rPr>
                <w:rFonts w:hint="eastAsia" w:asciiTheme="minorEastAsia" w:hAnsiTheme="minorEastAsia" w:eastAsiaTheme="minorEastAsia" w:cstheme="minorEastAsia"/>
                <w:b w:val="0"/>
                <w:bCs w:val="0"/>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流式细胞仪</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4F65DE9">
            <w:pPr>
              <w:keepNext w:val="0"/>
              <w:keepLines w:val="0"/>
              <w:widowControl/>
              <w:suppressLineNumbers w:val="0"/>
              <w:snapToGrid w:val="0"/>
              <w:spacing w:before="0" w:beforeAutospacing="0" w:after="0" w:afterAutospacing="0"/>
              <w:ind w:left="0" w:leftChars="0" w:right="0" w:rightChars="0"/>
              <w:jc w:val="center"/>
              <w:rPr>
                <w:rFonts w:hint="default"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1套</w:t>
            </w:r>
          </w:p>
        </w:tc>
        <w:tc>
          <w:tcPr>
            <w:tcW w:w="1499" w:type="dxa"/>
            <w:tcBorders>
              <w:top w:val="single" w:color="000000" w:sz="4" w:space="0"/>
              <w:left w:val="single" w:color="000000" w:sz="4" w:space="0"/>
              <w:bottom w:val="single" w:color="000000" w:sz="4" w:space="0"/>
              <w:right w:val="single" w:color="000000" w:sz="4" w:space="0"/>
            </w:tcBorders>
            <w:noWrap w:val="0"/>
            <w:vAlign w:val="center"/>
          </w:tcPr>
          <w:p w14:paraId="3D9EFD7D">
            <w:pPr>
              <w:keepNext w:val="0"/>
              <w:keepLines w:val="0"/>
              <w:widowControl/>
              <w:suppressLineNumbers w:val="0"/>
              <w:snapToGrid w:val="0"/>
              <w:spacing w:before="0" w:beforeAutospacing="0" w:after="0" w:afterAutospacing="0"/>
              <w:ind w:left="0" w:right="0"/>
              <w:jc w:val="center"/>
              <w:rPr>
                <w:rFonts w:hint="eastAsia" w:asciiTheme="minorEastAsia" w:hAnsiTheme="minorEastAsia" w:eastAsiaTheme="minorEastAsia" w:cstheme="minorEastAsia"/>
                <w:b w:val="0"/>
                <w:bCs w:val="0"/>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合同生效后60个日历天内交货</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53364E4C">
            <w:pPr>
              <w:pStyle w:val="57"/>
              <w:widowControl w:val="0"/>
              <w:tabs>
                <w:tab w:val="left" w:pos="1135"/>
              </w:tabs>
              <w:snapToGrid w:val="0"/>
              <w:spacing w:before="0" w:beforeAutospacing="0" w:after="0" w:afterAutospacing="0" w:line="312" w:lineRule="auto"/>
              <w:jc w:val="cente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highlight w:val="none"/>
                <w:lang w:val="en-US" w:eastAsia="zh-CN" w:bidi="ar"/>
                <w14:textFill>
                  <w14:solidFill>
                    <w14:schemeClr w14:val="tx1"/>
                  </w14:solidFill>
                </w14:textFill>
              </w:rPr>
              <w:t>南通大学附属医院</w:t>
            </w:r>
            <w:r>
              <w:rPr>
                <w:rFonts w:hint="eastAsia" w:asciiTheme="minorEastAsia" w:hAnsiTheme="minorEastAsia" w:eastAsiaTheme="minorEastAsia" w:cstheme="minorEastAsia"/>
                <w:b w:val="0"/>
                <w:bCs w:val="0"/>
                <w:color w:val="000000" w:themeColor="text1"/>
                <w:kern w:val="2"/>
                <w:highlight w:val="none"/>
                <w:lang w:bidi="ar"/>
                <w14:textFill>
                  <w14:solidFill>
                    <w14:schemeClr w14:val="tx1"/>
                  </w14:solidFill>
                </w14:textFill>
              </w:rPr>
              <w:t>指定地点</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03472A49">
            <w:pPr>
              <w:keepNext w:val="0"/>
              <w:keepLines w:val="0"/>
              <w:widowControl/>
              <w:suppressLineNumbers w:val="0"/>
              <w:snapToGrid w:val="0"/>
              <w:spacing w:before="0" w:beforeAutospacing="0" w:after="0" w:afterAutospacing="0"/>
              <w:ind w:left="0" w:right="0"/>
              <w:jc w:val="cente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100万元</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2C79FF55">
            <w:pPr>
              <w:keepNext w:val="0"/>
              <w:keepLines w:val="0"/>
              <w:widowControl/>
              <w:suppressLineNumbers w:val="0"/>
              <w:snapToGrid w:val="0"/>
              <w:spacing w:before="0" w:beforeAutospacing="0" w:after="0" w:afterAutospacing="0"/>
              <w:ind w:left="0" w:right="0"/>
              <w:jc w:val="cente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60万元</w:t>
            </w:r>
          </w:p>
        </w:tc>
        <w:tc>
          <w:tcPr>
            <w:tcW w:w="879" w:type="dxa"/>
            <w:tcBorders>
              <w:top w:val="single" w:color="000000" w:sz="4" w:space="0"/>
              <w:left w:val="single" w:color="000000" w:sz="4" w:space="0"/>
              <w:bottom w:val="single" w:color="000000" w:sz="4" w:space="0"/>
              <w:right w:val="single" w:color="000000" w:sz="4" w:space="0"/>
            </w:tcBorders>
            <w:noWrap w:val="0"/>
            <w:vAlign w:val="center"/>
          </w:tcPr>
          <w:p w14:paraId="381D3224">
            <w:pPr>
              <w:keepNext w:val="0"/>
              <w:keepLines w:val="0"/>
              <w:widowControl/>
              <w:suppressLineNumbers w:val="0"/>
              <w:snapToGrid w:val="0"/>
              <w:spacing w:before="0" w:beforeAutospacing="0" w:after="0" w:afterAutospacing="0"/>
              <w:ind w:left="0" w:right="0"/>
              <w:jc w:val="center"/>
              <w:rPr>
                <w:rFonts w:hint="default"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3年</w:t>
            </w:r>
          </w:p>
        </w:tc>
      </w:tr>
    </w:tbl>
    <w:p w14:paraId="70CBD266">
      <w:pPr>
        <w:spacing w:line="440" w:lineRule="exact"/>
        <w:jc w:val="left"/>
        <w:rPr>
          <w:rFonts w:hint="eastAsia" w:ascii="宋体" w:hAnsi="宋体" w:cs="宋体"/>
          <w:b/>
          <w:bCs/>
          <w:color w:val="000000"/>
          <w:kern w:val="2"/>
          <w:sz w:val="28"/>
          <w:szCs w:val="28"/>
          <w:highlight w:val="none"/>
        </w:rPr>
      </w:pPr>
    </w:p>
    <w:p w14:paraId="5D8D9F08">
      <w:pPr>
        <w:spacing w:line="360" w:lineRule="auto"/>
        <w:jc w:val="left"/>
        <w:rPr>
          <w:rFonts w:hint="eastAsia" w:ascii="宋体" w:hAnsi="宋体" w:cs="宋体"/>
          <w:b/>
          <w:bCs/>
          <w:color w:val="000000"/>
          <w:kern w:val="2"/>
          <w:sz w:val="28"/>
          <w:szCs w:val="28"/>
          <w:highlight w:val="none"/>
        </w:rPr>
      </w:pPr>
      <w:r>
        <w:rPr>
          <w:rFonts w:hint="eastAsia" w:ascii="宋体" w:hAnsi="宋体" w:cs="宋体"/>
          <w:b/>
          <w:bCs/>
          <w:color w:val="000000"/>
          <w:kern w:val="2"/>
          <w:sz w:val="28"/>
          <w:szCs w:val="28"/>
          <w:highlight w:val="none"/>
        </w:rPr>
        <w:t>二、项目需求</w:t>
      </w:r>
    </w:p>
    <w:p w14:paraId="33E33E36">
      <w:pPr>
        <w:pStyle w:val="3"/>
        <w:spacing w:line="240" w:lineRule="auto"/>
        <w:ind w:firstLine="0" w:firstLineChars="0"/>
        <w:rPr>
          <w:rFonts w:hint="default" w:eastAsia="宋体"/>
          <w:color w:val="000000"/>
          <w:highlight w:val="none"/>
          <w:u w:val="single"/>
          <w:lang w:val="en-US" w:eastAsia="zh-CN"/>
        </w:rPr>
      </w:pPr>
      <w:r>
        <w:rPr>
          <w:rFonts w:hint="eastAsia"/>
          <w:color w:val="000000"/>
          <w:highlight w:val="none"/>
          <w:u w:val="single"/>
        </w:rPr>
        <w:t>（一）</w:t>
      </w:r>
      <w:r>
        <w:rPr>
          <w:rFonts w:hint="eastAsia"/>
          <w:color w:val="000000"/>
          <w:highlight w:val="none"/>
          <w:u w:val="single"/>
          <w:lang w:val="en-US" w:eastAsia="zh-CN"/>
        </w:rPr>
        <w:t>基本要求</w:t>
      </w:r>
    </w:p>
    <w:p w14:paraId="52DE2804">
      <w:pPr>
        <w:widowControl/>
        <w:tabs>
          <w:tab w:val="left" w:pos="-420"/>
        </w:tabs>
        <w:spacing w:after="240"/>
        <w:ind w:firstLine="480" w:firstLineChars="200"/>
        <w:contextualSpacing/>
        <w:jc w:val="left"/>
        <w:rPr>
          <w:rFonts w:hint="eastAsia" w:ascii="宋体" w:hAnsi="宋体"/>
          <w:color w:val="000000"/>
          <w:sz w:val="24"/>
          <w:highlight w:val="none"/>
          <w:u w:val="single"/>
          <w:lang w:bidi="en-US"/>
        </w:rPr>
      </w:pPr>
      <w:r>
        <w:rPr>
          <w:rFonts w:hint="eastAsia" w:ascii="宋体" w:hAnsi="宋体"/>
          <w:color w:val="000000"/>
          <w:sz w:val="24"/>
          <w:highlight w:val="none"/>
          <w:u w:val="single"/>
          <w:lang w:eastAsia="zh-CN" w:bidi="en-US"/>
        </w:rPr>
        <w:t>用于免疫学、干细胞，遗传学等研究。对细胞表面、内部分子包括抗原、核酸等进行检测与分析，可用于分析蛋白表达、免疫分型、细胞凋亡、周期、增殖、细胞毒性、蛋白磷酸化、荧光蛋白、胞内活性氧水平、细胞膜电位、细胞内钙离子浓度等检测，</w:t>
      </w:r>
      <w:r>
        <w:rPr>
          <w:rFonts w:hint="eastAsia" w:ascii="宋体" w:hAnsi="宋体"/>
          <w:color w:val="000000"/>
          <w:sz w:val="24"/>
          <w:highlight w:val="none"/>
          <w:u w:val="single"/>
          <w:lang w:val="en-US" w:eastAsia="zh-CN" w:bidi="en-US"/>
        </w:rPr>
        <w:t>必须为</w:t>
      </w:r>
      <w:r>
        <w:rPr>
          <w:rFonts w:hint="eastAsia" w:ascii="宋体" w:hAnsi="宋体"/>
          <w:color w:val="000000"/>
          <w:sz w:val="24"/>
          <w:highlight w:val="none"/>
          <w:u w:val="single"/>
          <w:lang w:eastAsia="zh-CN" w:bidi="en-US"/>
        </w:rPr>
        <w:t>多通道染色</w:t>
      </w:r>
      <w:r>
        <w:rPr>
          <w:rFonts w:hint="eastAsia" w:ascii="宋体" w:hAnsi="宋体"/>
          <w:color w:val="000000"/>
          <w:sz w:val="24"/>
          <w:highlight w:val="none"/>
          <w:u w:val="single"/>
          <w:lang w:bidi="en-US"/>
        </w:rPr>
        <w:t>。</w:t>
      </w:r>
    </w:p>
    <w:p w14:paraId="0D631305">
      <w:pPr>
        <w:pStyle w:val="3"/>
        <w:ind w:left="0" w:leftChars="0" w:firstLine="0" w:firstLineChars="0"/>
        <w:rPr>
          <w:rFonts w:hint="eastAsia" w:ascii="宋体" w:hAnsi="宋体" w:eastAsia="宋体" w:cs="Times New Roman"/>
          <w:color w:val="000000"/>
          <w:highlight w:val="none"/>
          <w:u w:val="single"/>
          <w:lang w:val="en-US" w:eastAsia="zh-CN" w:bidi="en-US"/>
        </w:rPr>
      </w:pPr>
      <w:r>
        <w:rPr>
          <w:rFonts w:hint="eastAsia" w:ascii="宋体" w:hAnsi="宋体" w:eastAsia="宋体" w:cs="Times New Roman"/>
          <w:color w:val="000000"/>
          <w:highlight w:val="none"/>
          <w:u w:val="single"/>
          <w:lang w:val="en-US" w:eastAsia="zh-CN" w:bidi="en-US"/>
        </w:rPr>
        <w:t>（二）采购标的需执行的国家相关标准、行业标准、地方标准或者其他标准、规范</w:t>
      </w:r>
    </w:p>
    <w:p w14:paraId="6AD77ED9">
      <w:pPr>
        <w:pStyle w:val="3"/>
        <w:spacing w:line="240" w:lineRule="auto"/>
        <w:ind w:firstLine="480" w:firstLineChars="200"/>
        <w:rPr>
          <w:rFonts w:hint="default" w:ascii="宋体" w:hAnsi="宋体" w:eastAsia="宋体" w:cs="Times New Roman"/>
          <w:color w:val="000000"/>
          <w:highlight w:val="none"/>
          <w:u w:val="single"/>
          <w:lang w:val="en-US" w:eastAsia="zh-CN" w:bidi="en-US"/>
        </w:rPr>
      </w:pPr>
      <w:r>
        <w:rPr>
          <w:rFonts w:hint="eastAsia" w:ascii="宋体" w:hAnsi="宋体" w:cs="Times New Roman"/>
          <w:color w:val="000000"/>
          <w:highlight w:val="none"/>
          <w:u w:val="single"/>
          <w:lang w:val="en-US" w:eastAsia="zh-CN" w:bidi="en-US"/>
        </w:rPr>
        <w:t>YY/T 0588-2017、医疗器械管理条例。</w:t>
      </w:r>
    </w:p>
    <w:p w14:paraId="7D309784">
      <w:pPr>
        <w:pStyle w:val="3"/>
        <w:spacing w:line="240" w:lineRule="auto"/>
        <w:ind w:firstLine="0" w:firstLineChars="0"/>
        <w:rPr>
          <w:color w:val="000000"/>
          <w:highlight w:val="none"/>
        </w:rPr>
      </w:pPr>
      <w:r>
        <w:rPr>
          <w:rFonts w:hint="eastAsia"/>
          <w:color w:val="000000"/>
          <w:highlight w:val="none"/>
        </w:rPr>
        <w:t>（</w:t>
      </w:r>
      <w:r>
        <w:rPr>
          <w:rFonts w:hint="eastAsia"/>
          <w:color w:val="000000"/>
          <w:highlight w:val="none"/>
          <w:lang w:val="en-US" w:eastAsia="zh-CN"/>
        </w:rPr>
        <w:t>三</w:t>
      </w:r>
      <w:r>
        <w:rPr>
          <w:rFonts w:hint="eastAsia"/>
          <w:color w:val="000000"/>
          <w:highlight w:val="none"/>
        </w:rPr>
        <w:t>）技术参数要求</w:t>
      </w:r>
    </w:p>
    <w:p w14:paraId="4B411411">
      <w:pPr>
        <w:pStyle w:val="3"/>
        <w:ind w:left="0" w:leftChars="0" w:firstLine="0" w:firstLineChars="0"/>
        <w:rPr>
          <w:rFonts w:hint="eastAsia" w:ascii="宋体" w:hAnsi="宋体" w:eastAsia="宋体"/>
          <w:color w:val="000000"/>
          <w:highlight w:val="none"/>
          <w:lang w:val="en-US" w:eastAsia="zh-CN" w:bidi="en-US"/>
        </w:rPr>
      </w:pPr>
      <w:r>
        <w:rPr>
          <w:rFonts w:hint="eastAsia" w:ascii="宋体" w:hAnsi="宋体"/>
          <w:color w:val="000000"/>
          <w:highlight w:val="none"/>
          <w:lang w:val="en-US" w:eastAsia="zh-CN" w:bidi="en-US"/>
        </w:rPr>
        <w:t>（1）</w:t>
      </w:r>
      <w:r>
        <w:rPr>
          <w:rFonts w:hint="eastAsia" w:ascii="宋体" w:hAnsi="宋体" w:eastAsia="宋体"/>
          <w:color w:val="000000"/>
          <w:highlight w:val="none"/>
          <w:lang w:val="en-US" w:eastAsia="zh-CN" w:bidi="en-US"/>
        </w:rPr>
        <w:t>主机系统</w:t>
      </w:r>
    </w:p>
    <w:p w14:paraId="1B37F918">
      <w:pPr>
        <w:pStyle w:val="3"/>
        <w:numPr>
          <w:ilvl w:val="0"/>
          <w:numId w:val="44"/>
        </w:numPr>
        <w:ind w:left="425" w:leftChars="0" w:hanging="425" w:firstLineChars="0"/>
        <w:rPr>
          <w:rFonts w:hint="eastAsia" w:ascii="宋体" w:hAnsi="宋体"/>
          <w:color w:val="000000"/>
          <w:highlight w:val="none"/>
          <w:lang w:val="en-US" w:eastAsia="zh-CN" w:bidi="en-US"/>
        </w:rPr>
      </w:pPr>
      <w:r>
        <w:rPr>
          <w:rFonts w:hint="eastAsia" w:ascii="宋体" w:hAnsi="宋体"/>
          <w:color w:val="000000"/>
          <w:highlight w:val="none"/>
          <w:lang w:val="en-US" w:eastAsia="zh-CN" w:bidi="en-US"/>
        </w:rPr>
        <w:t>★</w:t>
      </w:r>
      <w:r>
        <w:rPr>
          <w:rFonts w:hint="eastAsia" w:ascii="宋体" w:hAnsi="宋体" w:eastAsia="宋体"/>
          <w:color w:val="000000"/>
          <w:highlight w:val="none"/>
          <w:lang w:val="en-US" w:eastAsia="zh-CN" w:bidi="en-US"/>
        </w:rPr>
        <w:t>激光器：</w:t>
      </w:r>
      <w:r>
        <w:rPr>
          <w:rFonts w:hint="eastAsia" w:ascii="宋体" w:hAnsi="宋体"/>
          <w:color w:val="000000"/>
          <w:highlight w:val="none"/>
          <w:lang w:val="en-US" w:eastAsia="zh-CN" w:bidi="en-US"/>
        </w:rPr>
        <w:t>≥</w:t>
      </w:r>
      <w:r>
        <w:rPr>
          <w:rFonts w:hint="eastAsia" w:ascii="宋体" w:hAnsi="宋体" w:eastAsia="宋体"/>
          <w:color w:val="000000"/>
          <w:highlight w:val="none"/>
          <w:lang w:val="en-US" w:eastAsia="zh-CN" w:bidi="en-US"/>
        </w:rPr>
        <w:t>60mW 488nm蓝色全固态激光器，</w:t>
      </w:r>
      <w:r>
        <w:rPr>
          <w:rFonts w:hint="eastAsia" w:ascii="宋体" w:hAnsi="宋体"/>
          <w:color w:val="000000"/>
          <w:highlight w:val="none"/>
          <w:lang w:val="en-US" w:eastAsia="zh-CN" w:bidi="en-US"/>
        </w:rPr>
        <w:t>≥</w:t>
      </w:r>
      <w:r>
        <w:rPr>
          <w:rFonts w:hint="eastAsia" w:ascii="宋体" w:hAnsi="宋体" w:eastAsia="宋体"/>
          <w:color w:val="000000"/>
          <w:highlight w:val="none"/>
          <w:lang w:val="en-US" w:eastAsia="zh-CN" w:bidi="en-US"/>
        </w:rPr>
        <w:t>40mW 640nm红色全固态激光器，</w:t>
      </w:r>
      <w:r>
        <w:rPr>
          <w:rFonts w:hint="eastAsia" w:ascii="宋体" w:hAnsi="宋体"/>
          <w:color w:val="000000"/>
          <w:highlight w:val="none"/>
          <w:lang w:val="en-US" w:eastAsia="zh-CN" w:bidi="en-US"/>
        </w:rPr>
        <w:t>≥</w:t>
      </w:r>
      <w:r>
        <w:rPr>
          <w:rFonts w:hint="eastAsia" w:ascii="宋体" w:hAnsi="宋体" w:eastAsia="宋体"/>
          <w:color w:val="000000"/>
          <w:highlight w:val="none"/>
          <w:lang w:val="en-US" w:eastAsia="zh-CN" w:bidi="en-US"/>
        </w:rPr>
        <w:t>50mw 405nm紫色全固态激光器</w:t>
      </w:r>
      <w:r>
        <w:rPr>
          <w:rFonts w:hint="eastAsia" w:ascii="宋体" w:hAnsi="宋体"/>
          <w:color w:val="000000"/>
          <w:highlight w:val="none"/>
          <w:lang w:val="en-US" w:eastAsia="zh-CN" w:bidi="en-US"/>
        </w:rPr>
        <w:t>，≥12</w:t>
      </w:r>
      <w:r>
        <w:rPr>
          <w:rFonts w:hint="eastAsia" w:ascii="宋体" w:hAnsi="宋体" w:eastAsia="宋体"/>
          <w:color w:val="000000"/>
          <w:highlight w:val="none"/>
          <w:lang w:val="en-US" w:eastAsia="zh-CN" w:bidi="en-US"/>
        </w:rPr>
        <w:t>个荧光通道</w:t>
      </w:r>
      <w:r>
        <w:rPr>
          <w:rFonts w:hint="eastAsia" w:ascii="宋体" w:hAnsi="宋体"/>
          <w:color w:val="000000"/>
          <w:highlight w:val="none"/>
          <w:lang w:val="en-US" w:eastAsia="zh-CN" w:bidi="en-US"/>
        </w:rPr>
        <w:t>。</w:t>
      </w:r>
    </w:p>
    <w:p w14:paraId="51534E46">
      <w:pPr>
        <w:pStyle w:val="3"/>
        <w:numPr>
          <w:ilvl w:val="0"/>
          <w:numId w:val="44"/>
        </w:numPr>
        <w:ind w:left="425" w:leftChars="0" w:hanging="425" w:firstLineChars="0"/>
        <w:rPr>
          <w:rFonts w:hint="default"/>
          <w:highlight w:val="none"/>
          <w:lang w:val="en-US" w:eastAsia="zh-CN"/>
        </w:rPr>
      </w:pPr>
      <w:r>
        <w:rPr>
          <w:rFonts w:hint="eastAsia" w:ascii="宋体" w:hAnsi="宋体"/>
          <w:color w:val="000000"/>
          <w:highlight w:val="none"/>
          <w:lang w:val="en-US" w:eastAsia="zh-CN" w:bidi="en-US"/>
        </w:rPr>
        <w:t>★试剂开放。（提供承诺书并加盖公章，格式自拟）</w:t>
      </w:r>
    </w:p>
    <w:p w14:paraId="66BC7C6A">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▲激光器须自带半导体温控（TEC）模块。激光器除自带的半导体温控之外，还另配散热板进行双重温控</w:t>
      </w:r>
      <w:r>
        <w:rPr>
          <w:rFonts w:hint="eastAsia" w:ascii="宋体" w:hAnsi="宋体"/>
          <w:color w:val="000000"/>
          <w:highlight w:val="none"/>
          <w:lang w:val="en-US" w:eastAsia="zh-CN" w:bidi="en-US"/>
        </w:rPr>
        <w:t>；</w:t>
      </w:r>
    </w:p>
    <w:p w14:paraId="068162ED">
      <w:pPr>
        <w:pStyle w:val="3"/>
        <w:numPr>
          <w:ilvl w:val="0"/>
          <w:numId w:val="0"/>
        </w:numPr>
        <w:ind w:left="0" w:leftChars="0" w:firstLine="420" w:firstLineChars="175"/>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激光激发方式：立体空间激发</w:t>
      </w:r>
      <w:r>
        <w:rPr>
          <w:rFonts w:hint="eastAsia" w:ascii="宋体" w:hAnsi="宋体"/>
          <w:color w:val="000000"/>
          <w:highlight w:val="none"/>
          <w:lang w:val="en-US" w:eastAsia="zh-CN" w:bidi="en-US"/>
        </w:rPr>
        <w:t>；</w:t>
      </w:r>
    </w:p>
    <w:p w14:paraId="3DD11C8D">
      <w:pPr>
        <w:pStyle w:val="3"/>
        <w:numPr>
          <w:ilvl w:val="0"/>
          <w:numId w:val="0"/>
        </w:numPr>
        <w:ind w:left="0" w:leftChars="0" w:firstLine="420" w:firstLineChars="175"/>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荧光检测器：采用高光子效率光电倍增管</w:t>
      </w:r>
      <w:r>
        <w:rPr>
          <w:rFonts w:hint="eastAsia" w:ascii="宋体" w:hAnsi="宋体"/>
          <w:color w:val="000000"/>
          <w:highlight w:val="none"/>
          <w:lang w:val="en-US" w:eastAsia="zh-CN" w:bidi="en-US"/>
        </w:rPr>
        <w:t>。</w:t>
      </w:r>
    </w:p>
    <w:p w14:paraId="03A00761">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光路传导：非光纤传导</w:t>
      </w:r>
      <w:r>
        <w:rPr>
          <w:rFonts w:hint="eastAsia" w:ascii="宋体" w:hAnsi="宋体"/>
          <w:color w:val="000000"/>
          <w:highlight w:val="none"/>
          <w:lang w:val="en-US" w:eastAsia="zh-CN" w:bidi="en-US"/>
        </w:rPr>
        <w:t>。</w:t>
      </w:r>
    </w:p>
    <w:p w14:paraId="0D34B6D3">
      <w:pPr>
        <w:pStyle w:val="3"/>
        <w:numPr>
          <w:ilvl w:val="0"/>
          <w:numId w:val="44"/>
        </w:numPr>
        <w:ind w:left="425" w:leftChars="0" w:hanging="425" w:firstLineChars="0"/>
        <w:rPr>
          <w:rFonts w:hint="default"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检测通道：≥16个检测参数</w:t>
      </w:r>
      <w:r>
        <w:rPr>
          <w:rFonts w:hint="eastAsia" w:ascii="宋体" w:hAnsi="宋体"/>
          <w:color w:val="000000"/>
          <w:highlight w:val="none"/>
          <w:lang w:val="en-US" w:eastAsia="zh-CN" w:bidi="en-US"/>
        </w:rPr>
        <w:t>。</w:t>
      </w:r>
    </w:p>
    <w:p w14:paraId="6D2E3BD0">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固定光路无需人工调校</w:t>
      </w:r>
      <w:r>
        <w:rPr>
          <w:rFonts w:hint="eastAsia" w:ascii="宋体" w:hAnsi="宋体"/>
          <w:color w:val="000000"/>
          <w:highlight w:val="none"/>
          <w:lang w:val="en-US" w:eastAsia="zh-CN" w:bidi="en-US"/>
        </w:rPr>
        <w:t>。</w:t>
      </w:r>
    </w:p>
    <w:p w14:paraId="175E043D">
      <w:pPr>
        <w:pStyle w:val="3"/>
        <w:numPr>
          <w:ilvl w:val="0"/>
          <w:numId w:val="44"/>
        </w:numPr>
        <w:ind w:left="425" w:leftChars="0" w:hanging="425" w:firstLineChars="0"/>
        <w:rPr>
          <w:rFonts w:hint="eastAsia" w:ascii="宋体" w:hAnsi="宋体"/>
          <w:color w:val="000000"/>
          <w:highlight w:val="none"/>
          <w:lang w:val="en-US" w:eastAsia="zh-CN" w:bidi="en-US"/>
        </w:rPr>
      </w:pPr>
      <w:r>
        <w:rPr>
          <w:rFonts w:hint="eastAsia" w:ascii="宋体" w:hAnsi="宋体" w:eastAsia="宋体"/>
          <w:color w:val="000000"/>
          <w:highlight w:val="none"/>
          <w:lang w:val="en-US" w:eastAsia="zh-CN" w:bidi="en-US"/>
        </w:rPr>
        <w:t>可插拨式滤光片，支持通道配置更改，且滤光片自带智能芯片，确保光路正确</w:t>
      </w:r>
      <w:r>
        <w:rPr>
          <w:rFonts w:hint="eastAsia" w:ascii="宋体" w:hAnsi="宋体"/>
          <w:color w:val="000000"/>
          <w:highlight w:val="none"/>
          <w:lang w:val="en-US" w:eastAsia="zh-CN" w:bidi="en-US"/>
        </w:rPr>
        <w:t>。</w:t>
      </w:r>
    </w:p>
    <w:p w14:paraId="4DF14091">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具有流动室快速反馈系统，且兼具智能防堵和自动排堵功能</w:t>
      </w:r>
      <w:r>
        <w:rPr>
          <w:rFonts w:hint="eastAsia" w:ascii="宋体" w:hAnsi="宋体"/>
          <w:color w:val="000000"/>
          <w:highlight w:val="none"/>
          <w:lang w:val="en-US" w:eastAsia="zh-CN" w:bidi="en-US"/>
        </w:rPr>
        <w:t>。（提供证明材料）</w:t>
      </w:r>
    </w:p>
    <w:p w14:paraId="343D70A6">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具有样本回收模式，针对未采集的样本可以进行回收</w:t>
      </w:r>
      <w:r>
        <w:rPr>
          <w:rFonts w:hint="eastAsia" w:ascii="宋体" w:hAnsi="宋体"/>
          <w:color w:val="000000"/>
          <w:highlight w:val="none"/>
          <w:lang w:val="en-US" w:eastAsia="zh-CN" w:bidi="en-US"/>
        </w:rPr>
        <w:t>。</w:t>
      </w:r>
    </w:p>
    <w:p w14:paraId="3647233A">
      <w:pPr>
        <w:pStyle w:val="3"/>
        <w:numPr>
          <w:ilvl w:val="0"/>
          <w:numId w:val="44"/>
        </w:numPr>
        <w:ind w:left="425" w:leftChars="0" w:hanging="425" w:firstLineChars="0"/>
        <w:rPr>
          <w:rFonts w:hint="eastAsia" w:ascii="宋体" w:hAnsi="宋体"/>
          <w:color w:val="000000"/>
          <w:highlight w:val="none"/>
          <w:lang w:val="en-US" w:eastAsia="zh-CN" w:bidi="en-US"/>
        </w:rPr>
      </w:pPr>
      <w:r>
        <w:rPr>
          <w:rFonts w:hint="eastAsia" w:ascii="宋体" w:hAnsi="宋体" w:eastAsia="宋体"/>
          <w:color w:val="000000"/>
          <w:highlight w:val="none"/>
          <w:lang w:val="en-US" w:eastAsia="zh-CN" w:bidi="en-US"/>
        </w:rPr>
        <w:t>检测参数：包括所有通道面积（A)，宽度（W），高度（H）以及时间，有效区分粘连细胞和单个细胞</w:t>
      </w:r>
      <w:r>
        <w:rPr>
          <w:rFonts w:hint="eastAsia" w:ascii="宋体" w:hAnsi="宋体"/>
          <w:color w:val="000000"/>
          <w:highlight w:val="none"/>
          <w:lang w:val="en-US" w:eastAsia="zh-CN" w:bidi="en-US"/>
        </w:rPr>
        <w:t>。</w:t>
      </w:r>
    </w:p>
    <w:p w14:paraId="7279E480">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散射光分辨率：FSC：</w:t>
      </w:r>
      <w:r>
        <w:rPr>
          <w:rFonts w:hint="eastAsia" w:ascii="宋体" w:hAnsi="宋体"/>
          <w:color w:val="000000"/>
          <w:highlight w:val="none"/>
          <w:lang w:val="en-US" w:eastAsia="zh-CN" w:bidi="en-US"/>
        </w:rPr>
        <w:t>≤</w:t>
      </w:r>
      <w:r>
        <w:rPr>
          <w:rFonts w:hint="eastAsia" w:ascii="宋体" w:hAnsi="宋体" w:eastAsia="宋体"/>
          <w:color w:val="000000"/>
          <w:highlight w:val="none"/>
          <w:lang w:val="en-US" w:eastAsia="zh-CN" w:bidi="en-US"/>
        </w:rPr>
        <w:t>0.4um</w:t>
      </w:r>
      <w:r>
        <w:rPr>
          <w:rFonts w:hint="eastAsia" w:ascii="宋体" w:hAnsi="宋体"/>
          <w:color w:val="000000"/>
          <w:highlight w:val="none"/>
          <w:lang w:val="en-US" w:eastAsia="zh-CN" w:bidi="en-US"/>
        </w:rPr>
        <w:t>；</w:t>
      </w:r>
      <w:r>
        <w:rPr>
          <w:rFonts w:hint="eastAsia" w:ascii="宋体" w:hAnsi="宋体" w:eastAsia="宋体"/>
          <w:color w:val="000000"/>
          <w:highlight w:val="none"/>
          <w:lang w:val="en-US" w:eastAsia="zh-CN" w:bidi="en-US"/>
        </w:rPr>
        <w:t>SSC：</w:t>
      </w:r>
      <w:r>
        <w:rPr>
          <w:rFonts w:hint="eastAsia" w:ascii="宋体" w:hAnsi="宋体"/>
          <w:color w:val="000000"/>
          <w:highlight w:val="none"/>
          <w:lang w:val="en-US" w:eastAsia="zh-CN" w:bidi="en-US"/>
        </w:rPr>
        <w:t>≤</w:t>
      </w:r>
      <w:r>
        <w:rPr>
          <w:rFonts w:hint="eastAsia" w:ascii="宋体" w:hAnsi="宋体" w:eastAsia="宋体"/>
          <w:color w:val="000000"/>
          <w:highlight w:val="none"/>
          <w:lang w:val="en-US" w:eastAsia="zh-CN" w:bidi="en-US"/>
        </w:rPr>
        <w:t>0.1um</w:t>
      </w:r>
      <w:r>
        <w:rPr>
          <w:rFonts w:hint="eastAsia" w:ascii="宋体" w:hAnsi="宋体"/>
          <w:color w:val="000000"/>
          <w:highlight w:val="none"/>
          <w:lang w:val="en-US" w:eastAsia="zh-CN" w:bidi="en-US"/>
        </w:rPr>
        <w:t>。</w:t>
      </w:r>
    </w:p>
    <w:p w14:paraId="6EABA8D8">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▲检测颗粒直径：0.1～50μm</w:t>
      </w:r>
      <w:r>
        <w:rPr>
          <w:rFonts w:hint="eastAsia" w:ascii="宋体" w:hAnsi="宋体"/>
          <w:color w:val="000000"/>
          <w:highlight w:val="none"/>
          <w:lang w:val="en-US" w:eastAsia="zh-CN" w:bidi="en-US"/>
        </w:rPr>
        <w:t>。</w:t>
      </w:r>
    </w:p>
    <w:p w14:paraId="01B20F20">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荧光灵敏度: FITC&lt;45MESF; PE&lt;15MESF; APC&lt;15MESF</w:t>
      </w:r>
      <w:r>
        <w:rPr>
          <w:rFonts w:hint="eastAsia" w:ascii="宋体" w:hAnsi="宋体"/>
          <w:color w:val="000000"/>
          <w:highlight w:val="none"/>
          <w:lang w:val="en-US" w:eastAsia="zh-CN" w:bidi="en-US"/>
        </w:rPr>
        <w:t>。</w:t>
      </w:r>
    </w:p>
    <w:p w14:paraId="1CBA22FC">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▲获取速率：≥</w:t>
      </w:r>
      <w:r>
        <w:rPr>
          <w:rFonts w:hint="eastAsia" w:ascii="宋体" w:hAnsi="宋体"/>
          <w:color w:val="000000"/>
          <w:highlight w:val="none"/>
          <w:lang w:val="en-US" w:eastAsia="zh-CN" w:bidi="en-US"/>
        </w:rPr>
        <w:t>7</w:t>
      </w:r>
      <w:r>
        <w:rPr>
          <w:rFonts w:hint="eastAsia" w:ascii="宋体" w:hAnsi="宋体" w:eastAsia="宋体"/>
          <w:color w:val="000000"/>
          <w:highlight w:val="none"/>
          <w:lang w:val="en-US" w:eastAsia="zh-CN" w:bidi="en-US"/>
        </w:rPr>
        <w:t>0000 events/s</w:t>
      </w:r>
      <w:r>
        <w:rPr>
          <w:rFonts w:hint="eastAsia" w:ascii="宋体" w:hAnsi="宋体"/>
          <w:color w:val="000000"/>
          <w:highlight w:val="none"/>
          <w:lang w:val="en-US" w:eastAsia="zh-CN" w:bidi="en-US"/>
        </w:rPr>
        <w:t>。</w:t>
      </w:r>
    </w:p>
    <w:p w14:paraId="408B6384">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全峰宽变异系数：CV</w:t>
      </w:r>
      <w:r>
        <w:rPr>
          <w:rFonts w:hint="eastAsia" w:ascii="宋体" w:hAnsi="宋体"/>
          <w:color w:val="000000"/>
          <w:highlight w:val="none"/>
          <w:lang w:val="en-US" w:eastAsia="zh-CN" w:bidi="en-US"/>
        </w:rPr>
        <w:t>≤</w:t>
      </w:r>
      <w:r>
        <w:rPr>
          <w:rFonts w:hint="eastAsia" w:ascii="宋体" w:hAnsi="宋体" w:eastAsia="宋体"/>
          <w:color w:val="000000"/>
          <w:highlight w:val="none"/>
          <w:lang w:val="en-US" w:eastAsia="zh-CN" w:bidi="en-US"/>
        </w:rPr>
        <w:t>3%</w:t>
      </w:r>
      <w:r>
        <w:rPr>
          <w:rFonts w:hint="eastAsia" w:ascii="宋体" w:hAnsi="宋体"/>
          <w:color w:val="000000"/>
          <w:highlight w:val="none"/>
          <w:lang w:val="en-US" w:eastAsia="zh-CN" w:bidi="en-US"/>
        </w:rPr>
        <w:t>。</w:t>
      </w:r>
    </w:p>
    <w:p w14:paraId="02E20478">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绝对计数：标配无需微球绝对计数功能，精度误差在±5%以内</w:t>
      </w:r>
      <w:r>
        <w:rPr>
          <w:rFonts w:hint="eastAsia" w:ascii="宋体" w:hAnsi="宋体"/>
          <w:color w:val="000000"/>
          <w:highlight w:val="none"/>
          <w:lang w:val="en-US" w:eastAsia="zh-CN" w:bidi="en-US"/>
        </w:rPr>
        <w:t>。</w:t>
      </w:r>
    </w:p>
    <w:p w14:paraId="22CB8FD9">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▲信号处理：≥10</w:t>
      </w:r>
      <w:r>
        <w:rPr>
          <w:rFonts w:hint="eastAsia" w:ascii="宋体" w:hAnsi="宋体" w:eastAsia="宋体"/>
          <w:color w:val="000000"/>
          <w:highlight w:val="none"/>
          <w:vertAlign w:val="superscript"/>
          <w:lang w:val="en-US" w:eastAsia="zh-CN" w:bidi="en-US"/>
        </w:rPr>
        <w:t>7</w:t>
      </w:r>
      <w:r>
        <w:rPr>
          <w:rFonts w:hint="eastAsia" w:ascii="宋体" w:hAnsi="宋体" w:eastAsia="宋体"/>
          <w:color w:val="000000"/>
          <w:highlight w:val="none"/>
          <w:lang w:val="en-US" w:eastAsia="zh-CN" w:bidi="en-US"/>
        </w:rPr>
        <w:t>动态范围，PMT支持免调电压和可调电压双重模式</w:t>
      </w:r>
      <w:r>
        <w:rPr>
          <w:rFonts w:hint="eastAsia" w:ascii="宋体" w:hAnsi="宋体"/>
          <w:color w:val="000000"/>
          <w:highlight w:val="none"/>
          <w:lang w:val="en-US" w:eastAsia="zh-CN" w:bidi="en-US"/>
        </w:rPr>
        <w:t>。</w:t>
      </w:r>
    </w:p>
    <w:p w14:paraId="0AE1CA6E">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荧光补偿：可在线和离线补偿，补偿方式为数字矩阵补偿、快速补偿、自动补偿</w:t>
      </w:r>
      <w:r>
        <w:rPr>
          <w:rFonts w:hint="eastAsia" w:ascii="宋体" w:hAnsi="宋体"/>
          <w:color w:val="000000"/>
          <w:highlight w:val="none"/>
          <w:lang w:val="en-US" w:eastAsia="zh-CN" w:bidi="en-US"/>
        </w:rPr>
        <w:t>。</w:t>
      </w:r>
    </w:p>
    <w:p w14:paraId="22A02BE3">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软件：中英文双界面，可实现自动上样、检测、分析和打印报告，具有散点图、密度图、直方图、等高线图、热图、统计表格等功能，自带细胞周期、细胞增殖拟合功能</w:t>
      </w:r>
      <w:r>
        <w:rPr>
          <w:rFonts w:hint="eastAsia" w:ascii="宋体" w:hAnsi="宋体"/>
          <w:color w:val="000000"/>
          <w:highlight w:val="none"/>
          <w:lang w:val="en-US" w:eastAsia="zh-CN" w:bidi="en-US"/>
        </w:rPr>
        <w:t>。</w:t>
      </w:r>
    </w:p>
    <w:p w14:paraId="38C0DBE5">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进样检测的同时，支持分析数据：采集样本时，软件支持同时分析已经采集完成的样本。</w:t>
      </w:r>
    </w:p>
    <w:p w14:paraId="345D254E">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账户管理：支持管理员和用户账户的不同权限控制，可追踪用户操作时间</w:t>
      </w:r>
      <w:r>
        <w:rPr>
          <w:rFonts w:hint="eastAsia" w:ascii="宋体" w:hAnsi="宋体"/>
          <w:color w:val="000000"/>
          <w:highlight w:val="none"/>
          <w:lang w:val="en-US" w:eastAsia="zh-CN" w:bidi="en-US"/>
        </w:rPr>
        <w:t>。</w:t>
      </w:r>
    </w:p>
    <w:p w14:paraId="6C98C171">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质控：可以检测仪器各荧光通道的状态，生成图形文件，自动跟踪监测仪器性能</w:t>
      </w:r>
      <w:r>
        <w:rPr>
          <w:rFonts w:hint="eastAsia" w:ascii="宋体" w:hAnsi="宋体"/>
          <w:color w:val="000000"/>
          <w:highlight w:val="none"/>
          <w:lang w:val="en-US" w:eastAsia="zh-CN" w:bidi="en-US"/>
        </w:rPr>
        <w:t>。</w:t>
      </w:r>
    </w:p>
    <w:p w14:paraId="098547BE">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液路设计：采用鞘液聚焦</w:t>
      </w:r>
      <w:r>
        <w:rPr>
          <w:rFonts w:hint="eastAsia" w:ascii="宋体" w:hAnsi="宋体"/>
          <w:color w:val="000000"/>
          <w:highlight w:val="none"/>
          <w:lang w:val="en-US" w:eastAsia="zh-CN" w:bidi="en-US"/>
        </w:rPr>
        <w:t>。</w:t>
      </w:r>
    </w:p>
    <w:p w14:paraId="59C1A63B">
      <w:pPr>
        <w:pStyle w:val="3"/>
        <w:numPr>
          <w:ilvl w:val="0"/>
          <w:numId w:val="44"/>
        </w:numPr>
        <w:ind w:left="425" w:leftChars="0" w:hanging="425" w:firstLineChars="0"/>
        <w:rPr>
          <w:rFonts w:hint="eastAsia" w:ascii="宋体" w:hAnsi="宋体"/>
          <w:color w:val="000000"/>
          <w:highlight w:val="none"/>
          <w:lang w:val="en-US" w:eastAsia="zh-CN" w:bidi="en-US"/>
        </w:rPr>
      </w:pPr>
      <w:r>
        <w:rPr>
          <w:rFonts w:hint="eastAsia" w:ascii="宋体" w:hAnsi="宋体" w:eastAsia="宋体"/>
          <w:color w:val="000000"/>
          <w:highlight w:val="none"/>
          <w:lang w:val="en-US" w:eastAsia="zh-CN" w:bidi="en-US"/>
        </w:rPr>
        <w:t>液路动力：为防止管路堵塞，提供强液路压力，采用注射泵驱动</w:t>
      </w:r>
      <w:r>
        <w:rPr>
          <w:rFonts w:hint="eastAsia" w:ascii="宋体" w:hAnsi="宋体"/>
          <w:color w:val="000000"/>
          <w:highlight w:val="none"/>
          <w:lang w:val="en-US" w:eastAsia="zh-CN" w:bidi="en-US"/>
        </w:rPr>
        <w:t>。</w:t>
      </w:r>
    </w:p>
    <w:p w14:paraId="5425C7C6">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▲样本流速</w:t>
      </w:r>
      <w:r>
        <w:rPr>
          <w:rFonts w:hint="eastAsia" w:ascii="宋体" w:hAnsi="宋体"/>
          <w:color w:val="000000"/>
          <w:highlight w:val="none"/>
          <w:lang w:val="en-US" w:eastAsia="zh-CN" w:bidi="en-US"/>
        </w:rPr>
        <w:t>：范围包含10</w:t>
      </w:r>
      <w:r>
        <w:rPr>
          <w:rFonts w:hint="eastAsia" w:ascii="宋体" w:hAnsi="宋体" w:eastAsia="宋体"/>
          <w:color w:val="000000"/>
          <w:highlight w:val="none"/>
          <w:lang w:val="en-US" w:eastAsia="zh-CN" w:bidi="en-US"/>
        </w:rPr>
        <w:t>-120ul/min，支持流速连续调节</w:t>
      </w:r>
      <w:r>
        <w:rPr>
          <w:rFonts w:hint="eastAsia" w:ascii="宋体" w:hAnsi="宋体"/>
          <w:color w:val="000000"/>
          <w:highlight w:val="none"/>
          <w:lang w:val="en-US" w:eastAsia="zh-CN" w:bidi="en-US"/>
        </w:rPr>
        <w:t>。</w:t>
      </w:r>
    </w:p>
    <w:p w14:paraId="0F3E9C63">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清洗维护：一键式开关机，全自动液路清洗维护，每个样本做完后机器支持自动清洗管路和进样针的内壁和外壁，全程无需人员参与。</w:t>
      </w:r>
    </w:p>
    <w:p w14:paraId="09DBB633">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具有定时开关机功能，无需人工进行周清洗和月清洗，全部可以由仪器完成。</w:t>
      </w:r>
    </w:p>
    <w:p w14:paraId="6A9BCC66">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上样方式：兼容标准流式管、EP管等上样</w:t>
      </w:r>
      <w:r>
        <w:rPr>
          <w:rFonts w:hint="eastAsia" w:ascii="宋体" w:hAnsi="宋体"/>
          <w:color w:val="000000"/>
          <w:highlight w:val="none"/>
          <w:lang w:val="en-US" w:eastAsia="zh-CN" w:bidi="en-US"/>
        </w:rPr>
        <w:t>。</w:t>
      </w:r>
    </w:p>
    <w:p w14:paraId="50C4F0FB">
      <w:pPr>
        <w:pStyle w:val="3"/>
        <w:numPr>
          <w:ilvl w:val="0"/>
          <w:numId w:val="44"/>
        </w:numPr>
        <w:ind w:left="425" w:leftChars="0" w:hanging="425"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自动加样器：兼容40管标准流式管、24孔板、48孔板、96孔板、384孔板上样，安装后自动校准，具有条形码扫描功能，样本混匀速度、时间及加速度可调，撞针后自动修复获取下个样本，样本采集后自动清洗，具有自动化设备接口，可外接机械臂自动进样</w:t>
      </w:r>
      <w:r>
        <w:rPr>
          <w:rFonts w:hint="eastAsia" w:ascii="宋体" w:hAnsi="宋体"/>
          <w:color w:val="000000"/>
          <w:highlight w:val="none"/>
          <w:lang w:val="en-US" w:eastAsia="zh-CN" w:bidi="en-US"/>
        </w:rPr>
        <w:t>。</w:t>
      </w:r>
    </w:p>
    <w:p w14:paraId="091C557D">
      <w:pPr>
        <w:pStyle w:val="3"/>
        <w:ind w:left="0" w:leftChars="0" w:firstLine="0" w:firstLineChars="0"/>
        <w:rPr>
          <w:rFonts w:hint="eastAsia" w:ascii="宋体" w:hAnsi="宋体" w:eastAsia="宋体"/>
          <w:color w:val="000000"/>
          <w:highlight w:val="none"/>
          <w:lang w:val="en-US" w:eastAsia="zh-CN" w:bidi="en-US"/>
        </w:rPr>
      </w:pPr>
      <w:r>
        <w:rPr>
          <w:rFonts w:hint="eastAsia" w:ascii="宋体" w:hAnsi="宋体"/>
          <w:color w:val="000000"/>
          <w:highlight w:val="none"/>
          <w:lang w:val="en-US" w:eastAsia="zh-CN" w:bidi="en-US"/>
        </w:rPr>
        <w:t>★（2）</w:t>
      </w:r>
      <w:r>
        <w:rPr>
          <w:rFonts w:hint="eastAsia" w:ascii="宋体" w:hAnsi="宋体" w:eastAsia="宋体"/>
          <w:color w:val="000000"/>
          <w:highlight w:val="none"/>
          <w:lang w:val="en-US" w:eastAsia="zh-CN" w:bidi="en-US"/>
        </w:rPr>
        <w:t>其他配置</w:t>
      </w:r>
    </w:p>
    <w:p w14:paraId="359D28F9">
      <w:pPr>
        <w:pStyle w:val="3"/>
        <w:ind w:left="0" w:leftChars="0" w:firstLine="0" w:firstLineChars="0"/>
        <w:rPr>
          <w:rFonts w:hint="eastAsia"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1.工作站</w:t>
      </w:r>
      <w:r>
        <w:rPr>
          <w:rFonts w:hint="eastAsia" w:ascii="宋体" w:hAnsi="宋体"/>
          <w:color w:val="000000"/>
          <w:highlight w:val="none"/>
          <w:lang w:val="en-US" w:eastAsia="zh-CN" w:bidi="en-US"/>
        </w:rPr>
        <w:t>：须</w:t>
      </w:r>
      <w:r>
        <w:rPr>
          <w:rFonts w:hint="eastAsia" w:ascii="宋体" w:hAnsi="宋体" w:eastAsia="宋体"/>
          <w:color w:val="000000"/>
          <w:highlight w:val="none"/>
          <w:lang w:val="en-US" w:eastAsia="zh-CN" w:bidi="en-US"/>
        </w:rPr>
        <w:t>配套</w:t>
      </w:r>
      <w:r>
        <w:rPr>
          <w:rFonts w:hint="eastAsia" w:ascii="宋体" w:hAnsi="宋体"/>
          <w:color w:val="000000"/>
          <w:highlight w:val="none"/>
          <w:lang w:val="en-US" w:eastAsia="zh-CN" w:bidi="en-US"/>
        </w:rPr>
        <w:t>工作站</w:t>
      </w:r>
      <w:r>
        <w:rPr>
          <w:rFonts w:hint="eastAsia" w:ascii="宋体" w:hAnsi="宋体" w:eastAsia="宋体"/>
          <w:color w:val="000000"/>
          <w:highlight w:val="none"/>
          <w:lang w:val="en-US" w:eastAsia="zh-CN" w:bidi="en-US"/>
        </w:rPr>
        <w:t>电脑</w:t>
      </w:r>
      <w:r>
        <w:rPr>
          <w:rFonts w:hint="eastAsia" w:ascii="宋体" w:hAnsi="宋体"/>
          <w:color w:val="000000"/>
          <w:highlight w:val="none"/>
          <w:lang w:val="en-US" w:eastAsia="zh-CN" w:bidi="en-US"/>
        </w:rPr>
        <w:t>1台，</w:t>
      </w:r>
      <w:r>
        <w:rPr>
          <w:rFonts w:hint="eastAsia" w:ascii="宋体" w:hAnsi="宋体" w:eastAsia="宋体"/>
          <w:color w:val="000000"/>
          <w:highlight w:val="none"/>
          <w:lang w:val="en-US" w:eastAsia="zh-CN" w:bidi="en-US"/>
        </w:rPr>
        <w:t>≥24寸LED液晶</w:t>
      </w:r>
      <w:r>
        <w:rPr>
          <w:rFonts w:hint="eastAsia" w:ascii="宋体" w:hAnsi="宋体"/>
          <w:color w:val="000000"/>
          <w:highlight w:val="none"/>
          <w:lang w:val="en-US" w:eastAsia="zh-CN" w:bidi="en-US"/>
        </w:rPr>
        <w:t>显示屏。</w:t>
      </w:r>
    </w:p>
    <w:p w14:paraId="7FDC0D1B">
      <w:pPr>
        <w:pStyle w:val="3"/>
        <w:ind w:left="0" w:leftChars="0" w:firstLine="0" w:firstLineChars="0"/>
        <w:rPr>
          <w:rFonts w:hint="default" w:ascii="宋体" w:hAnsi="宋体" w:eastAsia="宋体"/>
          <w:color w:val="000000"/>
          <w:highlight w:val="none"/>
          <w:lang w:val="en-US" w:eastAsia="zh-CN" w:bidi="en-US"/>
        </w:rPr>
      </w:pPr>
      <w:r>
        <w:rPr>
          <w:rFonts w:hint="eastAsia" w:ascii="宋体" w:hAnsi="宋体" w:eastAsia="宋体"/>
          <w:color w:val="000000"/>
          <w:highlight w:val="none"/>
          <w:lang w:val="en-US" w:eastAsia="zh-CN" w:bidi="en-US"/>
        </w:rPr>
        <w:t>2.软件：配套原装软件一套</w:t>
      </w:r>
      <w:r>
        <w:rPr>
          <w:rFonts w:hint="eastAsia" w:ascii="宋体" w:hAnsi="宋体"/>
          <w:color w:val="000000"/>
          <w:highlight w:val="none"/>
          <w:lang w:val="en-US" w:eastAsia="zh-CN" w:bidi="en-US"/>
        </w:rPr>
        <w:t>。</w:t>
      </w:r>
    </w:p>
    <w:p w14:paraId="0CB69D6F">
      <w:pPr>
        <w:spacing w:after="240" w:line="440" w:lineRule="exact"/>
        <w:jc w:val="left"/>
        <w:rPr>
          <w:rFonts w:hint="eastAsia" w:ascii="宋体" w:hAnsi="宋体" w:cs="宋体"/>
          <w:b/>
          <w:bCs/>
          <w:color w:val="000000"/>
          <w:kern w:val="2"/>
          <w:sz w:val="32"/>
          <w:szCs w:val="32"/>
          <w:highlight w:val="none"/>
          <w:u w:val="single"/>
        </w:rPr>
      </w:pPr>
      <w:r>
        <w:rPr>
          <w:rFonts w:hint="eastAsia" w:ascii="宋体" w:hAnsi="宋体" w:cs="宋体"/>
          <w:b/>
          <w:bCs/>
          <w:color w:val="000000"/>
          <w:kern w:val="2"/>
          <w:sz w:val="32"/>
          <w:szCs w:val="32"/>
          <w:highlight w:val="none"/>
          <w:u w:val="single"/>
        </w:rPr>
        <w:t>★三、商务条款</w:t>
      </w:r>
    </w:p>
    <w:p w14:paraId="012608E1">
      <w:pPr>
        <w:widowControl w:val="0"/>
        <w:numPr>
          <w:ilvl w:val="0"/>
          <w:numId w:val="45"/>
        </w:numPr>
        <w:tabs>
          <w:tab w:val="clear" w:pos="21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设备生产日期：不早于设备到货日期前</w:t>
      </w:r>
      <w:r>
        <w:rPr>
          <w:rFonts w:hint="eastAsia" w:cs="Times New Roman"/>
          <w:color w:val="000000"/>
          <w:sz w:val="24"/>
          <w:szCs w:val="24"/>
          <w:highlight w:val="none"/>
          <w:lang w:val="en-US" w:eastAsia="zh-CN"/>
        </w:rPr>
        <w:t>6个</w:t>
      </w:r>
      <w:r>
        <w:rPr>
          <w:rFonts w:hint="eastAsia" w:ascii="Times New Roman" w:hAnsi="Times New Roman" w:eastAsia="宋体" w:cs="Times New Roman"/>
          <w:color w:val="000000"/>
          <w:sz w:val="24"/>
          <w:szCs w:val="24"/>
          <w:highlight w:val="none"/>
          <w:lang w:val="en-US" w:eastAsia="zh-CN"/>
        </w:rPr>
        <w:t>月</w:t>
      </w:r>
      <w:r>
        <w:rPr>
          <w:rFonts w:hint="eastAsia" w:ascii="Times New Roman" w:hAnsi="Times New Roman" w:eastAsia="宋体" w:cs="Times New Roman"/>
          <w:color w:val="000000"/>
          <w:sz w:val="24"/>
          <w:szCs w:val="24"/>
          <w:highlight w:val="none"/>
        </w:rPr>
        <w:t>。</w:t>
      </w:r>
    </w:p>
    <w:p w14:paraId="57E0E8D6">
      <w:pPr>
        <w:widowControl w:val="0"/>
        <w:numPr>
          <w:ilvl w:val="0"/>
          <w:numId w:val="45"/>
        </w:numPr>
        <w:tabs>
          <w:tab w:val="clear" w:pos="21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交货期：合同签订之日起</w:t>
      </w:r>
      <w:r>
        <w:rPr>
          <w:rFonts w:hint="eastAsia" w:cs="Times New Roman"/>
          <w:color w:val="000000"/>
          <w:sz w:val="24"/>
          <w:szCs w:val="24"/>
          <w:highlight w:val="none"/>
          <w:lang w:val="en-US" w:eastAsia="zh-CN"/>
        </w:rPr>
        <w:t>6</w:t>
      </w:r>
      <w:r>
        <w:rPr>
          <w:rFonts w:hint="default" w:ascii="Times New Roman" w:hAnsi="Times New Roman" w:eastAsia="宋体" w:cs="Times New Roman"/>
          <w:color w:val="000000"/>
          <w:sz w:val="24"/>
          <w:szCs w:val="24"/>
          <w:highlight w:val="none"/>
        </w:rPr>
        <w:t>0日内。</w:t>
      </w:r>
    </w:p>
    <w:p w14:paraId="6E708FA6">
      <w:pPr>
        <w:widowControl w:val="0"/>
        <w:numPr>
          <w:ilvl w:val="0"/>
          <w:numId w:val="45"/>
        </w:numPr>
        <w:tabs>
          <w:tab w:val="clear" w:pos="21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交货地点：</w:t>
      </w:r>
      <w:r>
        <w:rPr>
          <w:rFonts w:hint="eastAsia" w:cs="Times New Roman"/>
          <w:color w:val="000000"/>
          <w:sz w:val="24"/>
          <w:szCs w:val="24"/>
          <w:highlight w:val="none"/>
          <w:lang w:val="en-US" w:eastAsia="zh-CN"/>
        </w:rPr>
        <w:t>南通大学附属医院西院区指定地点</w:t>
      </w:r>
      <w:r>
        <w:rPr>
          <w:rFonts w:hint="default" w:ascii="Times New Roman" w:hAnsi="Times New Roman" w:eastAsia="宋体" w:cs="Times New Roman"/>
          <w:color w:val="000000"/>
          <w:sz w:val="24"/>
          <w:szCs w:val="24"/>
          <w:highlight w:val="none"/>
        </w:rPr>
        <w:t>。</w:t>
      </w:r>
    </w:p>
    <w:p w14:paraId="6588ED23">
      <w:pPr>
        <w:widowControl w:val="0"/>
        <w:numPr>
          <w:ilvl w:val="0"/>
          <w:numId w:val="45"/>
        </w:numPr>
        <w:tabs>
          <w:tab w:val="clear" w:pos="21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质量保证及售后服务要求：</w:t>
      </w:r>
    </w:p>
    <w:p w14:paraId="14F0D374">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4.1</w:t>
      </w:r>
      <w:r>
        <w:rPr>
          <w:rFonts w:hint="default" w:ascii="Times New Roman" w:hAnsi="Times New Roman" w:eastAsia="宋体" w:cs="Times New Roman"/>
          <w:color w:val="000000"/>
          <w:sz w:val="24"/>
          <w:szCs w:val="24"/>
          <w:highlight w:val="none"/>
        </w:rPr>
        <w:t>免费质保期：</w:t>
      </w:r>
      <w:r>
        <w:rPr>
          <w:rFonts w:hint="eastAsia" w:ascii="Times New Roman" w:hAnsi="Times New Roman" w:eastAsia="宋体" w:cs="Times New Roman"/>
          <w:color w:val="000000"/>
          <w:sz w:val="24"/>
          <w:szCs w:val="24"/>
          <w:highlight w:val="none"/>
        </w:rPr>
        <w:t>自设备验收之日起，原厂质保</w:t>
      </w:r>
      <w:r>
        <w:rPr>
          <w:rFonts w:hint="eastAsia" w:cs="Times New Roman"/>
          <w:color w:val="000000"/>
          <w:sz w:val="24"/>
          <w:szCs w:val="24"/>
          <w:highlight w:val="none"/>
          <w:lang w:val="en-US" w:eastAsia="zh-CN"/>
        </w:rPr>
        <w:t>3</w:t>
      </w:r>
      <w:r>
        <w:rPr>
          <w:rFonts w:hint="eastAsia" w:ascii="Times New Roman" w:hAnsi="Times New Roman" w:eastAsia="宋体" w:cs="Times New Roman"/>
          <w:color w:val="000000"/>
          <w:sz w:val="24"/>
          <w:szCs w:val="24"/>
          <w:highlight w:val="none"/>
        </w:rPr>
        <w:t>年。投标人须</w:t>
      </w:r>
      <w:r>
        <w:rPr>
          <w:rFonts w:hint="default" w:ascii="Times New Roman" w:hAnsi="Times New Roman" w:eastAsia="宋体" w:cs="Times New Roman"/>
          <w:color w:val="000000"/>
          <w:sz w:val="24"/>
          <w:szCs w:val="24"/>
          <w:highlight w:val="none"/>
        </w:rPr>
        <w:t>承诺在中标后</w:t>
      </w:r>
      <w:r>
        <w:rPr>
          <w:rFonts w:hint="eastAsia" w:ascii="Times New Roman" w:hAnsi="Times New Roman" w:eastAsia="宋体" w:cs="Times New Roman"/>
          <w:color w:val="000000"/>
          <w:sz w:val="24"/>
          <w:szCs w:val="24"/>
          <w:highlight w:val="none"/>
        </w:rPr>
        <w:t>提供</w:t>
      </w:r>
      <w:r>
        <w:rPr>
          <w:rFonts w:hint="default" w:ascii="Times New Roman" w:hAnsi="Times New Roman" w:eastAsia="宋体" w:cs="Times New Roman"/>
          <w:color w:val="000000"/>
          <w:sz w:val="24"/>
          <w:szCs w:val="24"/>
          <w:highlight w:val="none"/>
        </w:rPr>
        <w:t>原厂</w:t>
      </w:r>
      <w:r>
        <w:rPr>
          <w:rFonts w:hint="eastAsia" w:ascii="Times New Roman" w:hAnsi="Times New Roman" w:eastAsia="宋体" w:cs="Times New Roman"/>
          <w:color w:val="000000"/>
          <w:sz w:val="24"/>
          <w:szCs w:val="24"/>
          <w:highlight w:val="none"/>
        </w:rPr>
        <w:t>出具的</w:t>
      </w:r>
      <w:r>
        <w:rPr>
          <w:rFonts w:hint="default" w:ascii="Times New Roman" w:hAnsi="Times New Roman" w:eastAsia="宋体" w:cs="Times New Roman"/>
          <w:color w:val="000000"/>
          <w:sz w:val="24"/>
          <w:szCs w:val="24"/>
          <w:highlight w:val="none"/>
        </w:rPr>
        <w:t>售后服务函。（格式自拟）</w:t>
      </w:r>
    </w:p>
    <w:p w14:paraId="1EBB2782">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p>
    <w:p w14:paraId="6B993700">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4.2保修期内投标人保证货物完好率不低于95%，如因货物质量问题导致货物部分或全部功能停用率超过5%（一年按365天计算，每年18天），则每超过一天，质保期延长两周。</w:t>
      </w:r>
    </w:p>
    <w:p w14:paraId="07EA7AE5">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4.3质保范围：合同项目下所有货物，包括配套附件、软件等所出现的任何故障及性能偏差。</w:t>
      </w:r>
    </w:p>
    <w:p w14:paraId="5AF620BB">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4.4质保期外如需更换配件</w:t>
      </w:r>
      <w:r>
        <w:rPr>
          <w:rFonts w:hint="eastAsia" w:ascii="Times New Roman" w:hAnsi="Times New Roman" w:eastAsia="宋体" w:cs="Times New Roman"/>
          <w:color w:val="000000"/>
          <w:sz w:val="24"/>
          <w:szCs w:val="24"/>
          <w:highlight w:val="none"/>
          <w:lang w:eastAsia="zh-CN"/>
        </w:rPr>
        <w:t>，</w:t>
      </w:r>
      <w:r>
        <w:rPr>
          <w:rFonts w:hint="eastAsia" w:ascii="Times New Roman" w:hAnsi="Times New Roman" w:eastAsia="宋体" w:cs="Times New Roman"/>
          <w:color w:val="000000"/>
          <w:sz w:val="24"/>
          <w:szCs w:val="24"/>
          <w:highlight w:val="none"/>
        </w:rPr>
        <w:t>投标人保证先维修后收费，所更换的配件保修不少于一年。</w:t>
      </w:r>
    </w:p>
    <w:p w14:paraId="0D8DECAC">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w:t>
      </w:r>
      <w:r>
        <w:rPr>
          <w:rFonts w:hint="eastAsia" w:ascii="Times New Roman" w:hAnsi="Times New Roman" w:eastAsia="宋体" w:cs="Times New Roman"/>
          <w:color w:val="000000"/>
          <w:sz w:val="24"/>
          <w:szCs w:val="24"/>
          <w:highlight w:val="none"/>
          <w:lang w:val="en-US" w:eastAsia="zh-CN"/>
        </w:rPr>
        <w:t>5</w:t>
      </w:r>
      <w:r>
        <w:rPr>
          <w:rFonts w:hint="eastAsia" w:ascii="Times New Roman" w:hAnsi="Times New Roman" w:eastAsia="宋体" w:cs="Times New Roman"/>
          <w:color w:val="000000"/>
          <w:sz w:val="24"/>
          <w:szCs w:val="24"/>
          <w:highlight w:val="none"/>
        </w:rPr>
        <w:t>投标人保证有充足的备件确保故障设备在接到采购人报修电话48小时内现场修复。需返厂维修的设备，投标人承担拆卸、包装、运输及再安装等费用。</w:t>
      </w:r>
    </w:p>
    <w:p w14:paraId="3D342570">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w:t>
      </w:r>
      <w:r>
        <w:rPr>
          <w:rFonts w:hint="eastAsia" w:ascii="Times New Roman" w:hAnsi="Times New Roman" w:eastAsia="宋体" w:cs="Times New Roman"/>
          <w:color w:val="000000"/>
          <w:sz w:val="24"/>
          <w:szCs w:val="24"/>
          <w:highlight w:val="none"/>
          <w:lang w:val="en-US" w:eastAsia="zh-CN"/>
        </w:rPr>
        <w:t>6</w:t>
      </w:r>
      <w:r>
        <w:rPr>
          <w:rFonts w:hint="eastAsia" w:ascii="Times New Roman" w:hAnsi="Times New Roman" w:eastAsia="宋体" w:cs="Times New Roman"/>
          <w:color w:val="000000"/>
          <w:sz w:val="24"/>
          <w:szCs w:val="24"/>
          <w:highlight w:val="none"/>
        </w:rPr>
        <w:t>投标人保证</w:t>
      </w:r>
      <w:r>
        <w:rPr>
          <w:rFonts w:hint="eastAsia" w:cs="Times New Roman"/>
          <w:color w:val="000000"/>
          <w:sz w:val="24"/>
          <w:szCs w:val="24"/>
          <w:highlight w:val="none"/>
          <w:lang w:val="en-US" w:eastAsia="zh-CN"/>
        </w:rPr>
        <w:t>提供每年不少于2次的维护保养。</w:t>
      </w:r>
      <w:r>
        <w:rPr>
          <w:rFonts w:hint="eastAsia" w:ascii="Times New Roman" w:hAnsi="Times New Roman" w:eastAsia="宋体" w:cs="Times New Roman"/>
          <w:color w:val="000000"/>
          <w:sz w:val="24"/>
          <w:szCs w:val="24"/>
          <w:highlight w:val="none"/>
        </w:rPr>
        <w:t>所有的保养维护工作填写相关技术档案并由双方签字确认。</w:t>
      </w:r>
    </w:p>
    <w:p w14:paraId="1C06A49B">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w:t>
      </w:r>
      <w:r>
        <w:rPr>
          <w:rFonts w:hint="eastAsia" w:ascii="Times New Roman" w:hAnsi="Times New Roman" w:eastAsia="宋体" w:cs="Times New Roman"/>
          <w:color w:val="000000"/>
          <w:sz w:val="24"/>
          <w:szCs w:val="24"/>
          <w:highlight w:val="none"/>
          <w:lang w:val="en-US" w:eastAsia="zh-CN"/>
        </w:rPr>
        <w:t>7</w:t>
      </w:r>
      <w:r>
        <w:rPr>
          <w:rFonts w:hint="eastAsia" w:ascii="Times New Roman" w:hAnsi="Times New Roman" w:eastAsia="宋体" w:cs="Times New Roman"/>
          <w:color w:val="000000"/>
          <w:sz w:val="24"/>
          <w:szCs w:val="24"/>
          <w:highlight w:val="none"/>
        </w:rPr>
        <w:t>投标人应在交货时免费提供维修手册、专业工具等设备运行、维护、维修等必需的资料、材料。</w:t>
      </w:r>
    </w:p>
    <w:p w14:paraId="4B4F5108">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4.</w:t>
      </w:r>
      <w:r>
        <w:rPr>
          <w:rFonts w:hint="eastAsia" w:ascii="Times New Roman" w:hAnsi="Times New Roman" w:eastAsia="宋体" w:cs="Times New Roman"/>
          <w:color w:val="000000"/>
          <w:sz w:val="24"/>
          <w:szCs w:val="24"/>
          <w:highlight w:val="none"/>
          <w:lang w:val="en-US" w:eastAsia="zh-CN"/>
        </w:rPr>
        <w:t>8</w:t>
      </w:r>
      <w:r>
        <w:rPr>
          <w:rFonts w:hint="eastAsia" w:ascii="Times New Roman" w:hAnsi="Times New Roman" w:eastAsia="宋体" w:cs="Times New Roman"/>
          <w:color w:val="000000"/>
          <w:sz w:val="24"/>
          <w:szCs w:val="24"/>
          <w:highlight w:val="none"/>
        </w:rPr>
        <w:t>上述条款需经设备厂商或厂商指定的售后服务机构另行书面确认或直接加盖公章确认并在最终验收前提交给采购人。如涉及其他厂商产品则须得到该厂商的售后服务保证。</w:t>
      </w:r>
    </w:p>
    <w:p w14:paraId="67D6A992">
      <w:pPr>
        <w:widowControl w:val="0"/>
        <w:tabs>
          <w:tab w:val="left" w:pos="900"/>
        </w:tabs>
        <w:spacing w:after="120" w:line="360" w:lineRule="auto"/>
        <w:ind w:left="0" w:leftChars="0" w:firstLine="0" w:firstLineChars="0"/>
        <w:jc w:val="both"/>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4.</w:t>
      </w:r>
      <w:r>
        <w:rPr>
          <w:rFonts w:hint="eastAsia" w:ascii="Times New Roman" w:hAnsi="Times New Roman" w:eastAsia="宋体" w:cs="Times New Roman"/>
          <w:color w:val="000000"/>
          <w:sz w:val="24"/>
          <w:szCs w:val="24"/>
          <w:highlight w:val="none"/>
          <w:lang w:val="en-US" w:eastAsia="zh-CN"/>
        </w:rPr>
        <w:t>9配套软件免费升级</w:t>
      </w:r>
      <w:r>
        <w:rPr>
          <w:rFonts w:hint="eastAsia" w:cs="Times New Roman"/>
          <w:color w:val="000000"/>
          <w:sz w:val="24"/>
          <w:szCs w:val="24"/>
          <w:highlight w:val="none"/>
          <w:lang w:val="en-US" w:eastAsia="zh-CN"/>
        </w:rPr>
        <w:t>。</w:t>
      </w:r>
    </w:p>
    <w:p w14:paraId="62B28E09">
      <w:pPr>
        <w:widowControl w:val="0"/>
        <w:tabs>
          <w:tab w:val="left" w:pos="900"/>
        </w:tabs>
        <w:spacing w:after="120" w:line="360" w:lineRule="auto"/>
        <w:ind w:left="0" w:leftChars="0" w:firstLine="0" w:firstLineChars="0"/>
        <w:jc w:val="both"/>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4.10</w:t>
      </w:r>
      <w:r>
        <w:rPr>
          <w:rFonts w:hint="eastAsia" w:ascii="Times New Roman" w:hAnsi="Times New Roman" w:eastAsia="宋体" w:cs="Times New Roman"/>
          <w:color w:val="000000"/>
          <w:sz w:val="24"/>
          <w:szCs w:val="24"/>
          <w:highlight w:val="none"/>
        </w:rPr>
        <w:t>售后服务机构：</w:t>
      </w:r>
      <w:r>
        <w:rPr>
          <w:rFonts w:hint="eastAsia" w:ascii="Times New Roman" w:hAnsi="Times New Roman" w:eastAsia="宋体" w:cs="Times New Roman"/>
          <w:color w:val="000000"/>
          <w:sz w:val="24"/>
          <w:szCs w:val="24"/>
          <w:highlight w:val="none"/>
          <w:lang w:val="en-US" w:eastAsia="zh-CN"/>
        </w:rPr>
        <w:t>设备制造商。</w:t>
      </w:r>
      <w:r>
        <w:rPr>
          <w:rFonts w:hint="eastAsia" w:ascii="Times New Roman" w:hAnsi="Times New Roman" w:eastAsia="宋体" w:cs="Times New Roman"/>
          <w:color w:val="000000"/>
          <w:sz w:val="24"/>
          <w:szCs w:val="24"/>
          <w:highlight w:val="none"/>
        </w:rPr>
        <w:t>投标人应在验收时提供符合采购人要求的原厂质保证明材料。</w:t>
      </w:r>
    </w:p>
    <w:p w14:paraId="1230BDD3">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4.11质保期内每年提供官方认可的质控报告。</w:t>
      </w:r>
    </w:p>
    <w:p w14:paraId="6CBE5CED">
      <w:pPr>
        <w:widowControl w:val="0"/>
        <w:numPr>
          <w:ilvl w:val="0"/>
          <w:numId w:val="45"/>
        </w:numPr>
        <w:tabs>
          <w:tab w:val="clear" w:pos="21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培训：</w:t>
      </w:r>
      <w:r>
        <w:rPr>
          <w:rFonts w:hint="eastAsia" w:ascii="Times New Roman" w:hAnsi="Times New Roman" w:eastAsia="宋体" w:cs="Times New Roman"/>
          <w:color w:val="000000"/>
          <w:sz w:val="24"/>
          <w:szCs w:val="24"/>
          <w:highlight w:val="none"/>
        </w:rPr>
        <w:t>卖方负责对买方的操作、维修人员在项目所在地进行业务培训。培训应达到能熟练操作，并能排除常见故障的标准</w:t>
      </w:r>
      <w:r>
        <w:rPr>
          <w:rFonts w:hint="default" w:ascii="Times New Roman" w:hAnsi="Times New Roman" w:eastAsia="宋体" w:cs="Times New Roman"/>
          <w:color w:val="000000"/>
          <w:sz w:val="24"/>
          <w:szCs w:val="24"/>
          <w:highlight w:val="none"/>
        </w:rPr>
        <w:t>。</w:t>
      </w:r>
    </w:p>
    <w:p w14:paraId="073323A1">
      <w:pPr>
        <w:widowControl w:val="0"/>
        <w:numPr>
          <w:ilvl w:val="0"/>
          <w:numId w:val="45"/>
        </w:numPr>
        <w:tabs>
          <w:tab w:val="clear" w:pos="21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设备验收方式及标准</w:t>
      </w:r>
    </w:p>
    <w:p w14:paraId="3EAAF859">
      <w:pPr>
        <w:widowControl w:val="0"/>
        <w:tabs>
          <w:tab w:val="left" w:pos="7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6.1验收方式</w:t>
      </w:r>
    </w:p>
    <w:p w14:paraId="24EF32CB">
      <w:pPr>
        <w:widowControl w:val="0"/>
        <w:numPr>
          <w:ilvl w:val="0"/>
          <w:numId w:val="46"/>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5ED4B6BE">
      <w:pPr>
        <w:widowControl w:val="0"/>
        <w:numPr>
          <w:ilvl w:val="0"/>
          <w:numId w:val="46"/>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投标人负责货物的安装、调试、试用过程中的现场安全管理，若安装、调试及试用过程中发生安全事故，投标人应承担全部责任。</w:t>
      </w:r>
    </w:p>
    <w:p w14:paraId="1A62E85C">
      <w:pPr>
        <w:widowControl w:val="0"/>
        <w:numPr>
          <w:ilvl w:val="0"/>
          <w:numId w:val="46"/>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2B8FFA4D">
      <w:pPr>
        <w:widowControl w:val="0"/>
        <w:numPr>
          <w:ilvl w:val="0"/>
          <w:numId w:val="46"/>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货物试用结束后双方应及时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p>
    <w:p w14:paraId="6C01B00D">
      <w:pPr>
        <w:widowControl w:val="0"/>
        <w:numPr>
          <w:ilvl w:val="0"/>
          <w:numId w:val="46"/>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p>
    <w:p w14:paraId="2371A230">
      <w:pPr>
        <w:widowControl w:val="0"/>
        <w:tabs>
          <w:tab w:val="left" w:pos="90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6.2 验收标准</w:t>
      </w:r>
    </w:p>
    <w:p w14:paraId="7E711653">
      <w:pPr>
        <w:widowControl w:val="0"/>
        <w:numPr>
          <w:ilvl w:val="0"/>
          <w:numId w:val="47"/>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招标文件</w:t>
      </w:r>
      <w:r>
        <w:rPr>
          <w:rFonts w:hint="eastAsia" w:ascii="Times New Roman" w:hAnsi="Times New Roman" w:eastAsia="宋体" w:cs="Times New Roman"/>
          <w:color w:val="000000"/>
          <w:sz w:val="24"/>
          <w:szCs w:val="24"/>
          <w:highlight w:val="none"/>
        </w:rPr>
        <w:t>、中标人投标文件、采购合同、产品说明书及</w:t>
      </w:r>
      <w:r>
        <w:rPr>
          <w:rFonts w:hint="default" w:ascii="Times New Roman" w:hAnsi="Times New Roman" w:eastAsia="宋体" w:cs="Times New Roman"/>
          <w:color w:val="000000"/>
          <w:sz w:val="24"/>
          <w:szCs w:val="24"/>
          <w:highlight w:val="none"/>
        </w:rPr>
        <w:t>技术规格书中明确的标准和技术要求；</w:t>
      </w:r>
    </w:p>
    <w:p w14:paraId="4D3BC5BF">
      <w:pPr>
        <w:widowControl w:val="0"/>
        <w:numPr>
          <w:ilvl w:val="0"/>
          <w:numId w:val="47"/>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与合同货物有关的最新版本的中华人民共和国国家/国际标准和部颁标准；</w:t>
      </w:r>
    </w:p>
    <w:p w14:paraId="21BCA850">
      <w:pPr>
        <w:widowControl w:val="0"/>
        <w:numPr>
          <w:ilvl w:val="0"/>
          <w:numId w:val="47"/>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卖方随投标文件提供货物制造国的制造及验收的官方标准或货物验收大纲，经买方确认后，将作为对货物的验收依据之一。</w:t>
      </w:r>
    </w:p>
    <w:p w14:paraId="0C459C0D">
      <w:pPr>
        <w:widowControl w:val="0"/>
        <w:numPr>
          <w:ilvl w:val="0"/>
          <w:numId w:val="47"/>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卖方在澄清投标文件时作出的承诺，经买方确认后，将作为对货物的验收依据之一。</w:t>
      </w:r>
    </w:p>
    <w:p w14:paraId="2AB0F229">
      <w:pPr>
        <w:widowControl w:val="0"/>
        <w:numPr>
          <w:ilvl w:val="0"/>
          <w:numId w:val="47"/>
        </w:numPr>
        <w:tabs>
          <w:tab w:val="left" w:pos="108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双方签订的合同条款规定的其他产品配置与技术指标</w:t>
      </w:r>
      <w:r>
        <w:rPr>
          <w:rFonts w:hint="default" w:ascii="Times New Roman" w:hAnsi="Times New Roman" w:eastAsia="宋体" w:cs="Times New Roman"/>
          <w:color w:val="000000"/>
          <w:sz w:val="24"/>
          <w:szCs w:val="24"/>
          <w:highlight w:val="none"/>
        </w:rPr>
        <w:t>。</w:t>
      </w:r>
    </w:p>
    <w:p w14:paraId="5A4573F3">
      <w:pPr>
        <w:widowControl w:val="0"/>
        <w:numPr>
          <w:ilvl w:val="0"/>
          <w:numId w:val="45"/>
        </w:numPr>
        <w:tabs>
          <w:tab w:val="clear" w:pos="21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安装与调试：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p>
    <w:p w14:paraId="1965FE02">
      <w:pPr>
        <w:widowControl w:val="0"/>
        <w:numPr>
          <w:ilvl w:val="0"/>
          <w:numId w:val="45"/>
        </w:numPr>
        <w:tabs>
          <w:tab w:val="clear" w:pos="21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付款方式</w:t>
      </w:r>
      <w:r>
        <w:rPr>
          <w:rFonts w:hint="eastAsia" w:ascii="Times New Roman" w:hAnsi="Times New Roman" w:eastAsia="宋体" w:cs="Times New Roman"/>
          <w:color w:val="000000"/>
          <w:sz w:val="24"/>
          <w:szCs w:val="24"/>
          <w:highlight w:val="none"/>
        </w:rPr>
        <w:t>：货到现场安装调试验收合格无问题，卖方凭合法有效且与合同配置清单相符的全额完税发票及买方设备验收单支付90%；余款在验收合格满</w:t>
      </w:r>
      <w:r>
        <w:rPr>
          <w:rFonts w:hint="eastAsia" w:cs="Times New Roman"/>
          <w:color w:val="000000"/>
          <w:sz w:val="24"/>
          <w:szCs w:val="24"/>
          <w:highlight w:val="none"/>
          <w:lang w:val="en-US" w:eastAsia="zh-CN"/>
        </w:rPr>
        <w:t>1</w:t>
      </w:r>
      <w:r>
        <w:rPr>
          <w:rFonts w:hint="eastAsia" w:ascii="Times New Roman" w:hAnsi="Times New Roman" w:eastAsia="宋体" w:cs="Times New Roman"/>
          <w:color w:val="000000"/>
          <w:sz w:val="24"/>
          <w:szCs w:val="24"/>
          <w:highlight w:val="none"/>
        </w:rPr>
        <w:t>年后且确认没有质量/诚信等问题的情况下支付（不支付利息）</w:t>
      </w:r>
      <w:r>
        <w:rPr>
          <w:rFonts w:hint="default" w:ascii="Times New Roman" w:hAnsi="Times New Roman" w:eastAsia="宋体" w:cs="Times New Roman"/>
          <w:color w:val="000000"/>
          <w:sz w:val="24"/>
          <w:szCs w:val="24"/>
          <w:highlight w:val="none"/>
        </w:rPr>
        <w:t>。</w:t>
      </w:r>
    </w:p>
    <w:p w14:paraId="1F865BD7">
      <w:pPr>
        <w:widowControl w:val="0"/>
        <w:numPr>
          <w:ilvl w:val="0"/>
          <w:numId w:val="45"/>
        </w:numPr>
        <w:tabs>
          <w:tab w:val="clear" w:pos="210"/>
        </w:tabs>
        <w:spacing w:after="120" w:line="360" w:lineRule="auto"/>
        <w:ind w:left="0" w:leftChars="0" w:firstLine="0" w:firstLineChars="0"/>
        <w:jc w:val="both"/>
        <w:rPr>
          <w:rFonts w:hint="eastAsia"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设备如需使用专用耗材、试剂或在维修保养中需要专用工具、易损件、维修配件，则应在合同签订时提供耗材配件供货清单及报价表</w:t>
      </w:r>
      <w:r>
        <w:rPr>
          <w:rFonts w:hint="eastAsia" w:cs="Times New Roman"/>
          <w:color w:val="000000"/>
          <w:sz w:val="24"/>
          <w:szCs w:val="24"/>
          <w:highlight w:val="none"/>
          <w:lang w:eastAsia="zh-CN"/>
        </w:rPr>
        <w:t>。</w:t>
      </w:r>
    </w:p>
    <w:p w14:paraId="11ADDC01">
      <w:pPr>
        <w:widowControl w:val="0"/>
        <w:numPr>
          <w:ilvl w:val="0"/>
          <w:numId w:val="45"/>
        </w:numPr>
        <w:tabs>
          <w:tab w:val="clear" w:pos="210"/>
        </w:tabs>
        <w:spacing w:after="120" w:line="360" w:lineRule="auto"/>
        <w:ind w:left="0" w:leftChars="0" w:firstLine="0" w:firstLineChars="0"/>
        <w:jc w:val="both"/>
        <w:rPr>
          <w:rFonts w:hint="eastAsia" w:cs="Times New Roman"/>
          <w:color w:val="000000"/>
          <w:sz w:val="24"/>
          <w:szCs w:val="24"/>
          <w:highlight w:val="none"/>
          <w:lang w:eastAsia="zh-CN"/>
        </w:rPr>
      </w:pPr>
      <w:r>
        <w:rPr>
          <w:rFonts w:hint="eastAsia" w:cs="Times New Roman"/>
          <w:color w:val="000000"/>
          <w:sz w:val="24"/>
          <w:szCs w:val="24"/>
          <w:highlight w:val="none"/>
          <w:lang w:eastAsia="zh-CN"/>
        </w:rPr>
        <w:t>商品包装环保要求：应当按《关于印发〈商品包装政府采购需求标准（试行）〉、〈快递包装政府采购需求标准（试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p>
    <w:p w14:paraId="3443BAA9">
      <w:pPr>
        <w:widowControl w:val="0"/>
        <w:numPr>
          <w:ilvl w:val="0"/>
          <w:numId w:val="45"/>
        </w:numPr>
        <w:tabs>
          <w:tab w:val="clear" w:pos="210"/>
        </w:tabs>
        <w:spacing w:after="120" w:line="360" w:lineRule="auto"/>
        <w:ind w:left="0" w:leftChars="0" w:firstLine="0" w:firstLineChars="0"/>
        <w:jc w:val="both"/>
        <w:rPr>
          <w:rFonts w:hint="eastAsia" w:cs="Times New Roman"/>
          <w:color w:val="000000"/>
          <w:sz w:val="24"/>
          <w:szCs w:val="24"/>
          <w:highlight w:val="none"/>
          <w:lang w:eastAsia="zh-CN"/>
        </w:rPr>
      </w:pPr>
      <w:r>
        <w:rPr>
          <w:rFonts w:hint="eastAsia" w:cs="Times New Roman"/>
          <w:color w:val="000000"/>
          <w:sz w:val="24"/>
          <w:szCs w:val="24"/>
          <w:highlight w:val="none"/>
          <w:lang w:eastAsia="zh-CN"/>
        </w:rPr>
        <w:t>快递包装环保要求：（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要求。</w:t>
      </w:r>
    </w:p>
    <w:p w14:paraId="0AF5514A">
      <w:pPr>
        <w:widowControl w:val="0"/>
        <w:numPr>
          <w:ilvl w:val="0"/>
          <w:numId w:val="45"/>
        </w:numPr>
        <w:tabs>
          <w:tab w:val="clear" w:pos="210"/>
        </w:tabs>
        <w:spacing w:after="120" w:line="360" w:lineRule="auto"/>
        <w:ind w:left="0" w:leftChars="0" w:firstLine="0" w:firstLineChars="0"/>
        <w:jc w:val="both"/>
        <w:rPr>
          <w:rFonts w:hint="eastAsia" w:cs="Times New Roman"/>
          <w:color w:val="000000"/>
          <w:sz w:val="24"/>
          <w:szCs w:val="24"/>
          <w:highlight w:val="none"/>
          <w:lang w:eastAsia="zh-CN"/>
        </w:rPr>
      </w:pPr>
      <w:r>
        <w:rPr>
          <w:rFonts w:hint="eastAsia" w:cs="Times New Roman"/>
          <w:color w:val="000000"/>
          <w:sz w:val="24"/>
          <w:szCs w:val="24"/>
          <w:highlight w:val="none"/>
          <w:lang w:eastAsia="zh-CN"/>
        </w:rPr>
        <w:t>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409507A5">
      <w:pPr>
        <w:widowControl w:val="0"/>
        <w:numPr>
          <w:ilvl w:val="0"/>
          <w:numId w:val="45"/>
        </w:numPr>
        <w:tabs>
          <w:tab w:val="clear" w:pos="210"/>
        </w:tabs>
        <w:spacing w:after="120" w:line="360" w:lineRule="auto"/>
        <w:ind w:left="0" w:leftChars="0" w:firstLine="0" w:firstLineChars="0"/>
        <w:jc w:val="both"/>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eastAsia="zh-CN"/>
        </w:rPr>
        <w:t>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D4E157B">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67B61020">
      <w:pPr>
        <w:pStyle w:val="725"/>
        <w:tabs>
          <w:tab w:val="left" w:pos="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第四部分  开标和评标</w:t>
      </w:r>
    </w:p>
    <w:p w14:paraId="430C2D88">
      <w:pPr>
        <w:pStyle w:val="4"/>
        <w:numPr>
          <w:ilvl w:val="0"/>
          <w:numId w:val="48"/>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开标</w:t>
      </w:r>
    </w:p>
    <w:p w14:paraId="0BC04A26">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不见面远程开标模式：投标人在各自地点通过苏采云系统参加开标会。</w:t>
      </w:r>
    </w:p>
    <w:p w14:paraId="5E9589FE">
      <w:pPr>
        <w:pStyle w:val="4"/>
        <w:numPr>
          <w:ilvl w:val="0"/>
          <w:numId w:val="48"/>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评标流程和评标标准</w:t>
      </w:r>
    </w:p>
    <w:p w14:paraId="06B98AB3">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采用综合评分法。分资格审查，商务、技术标，价格标三部分评审，总分值为100分，加分和减分因素除外。</w:t>
      </w:r>
    </w:p>
    <w:p w14:paraId="30C461E0">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p>
    <w:p w14:paraId="353A53F4">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p>
    <w:p w14:paraId="78129C2D">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w:t>
      </w:r>
      <w:r>
        <w:rPr>
          <w:rFonts w:hint="eastAsia"/>
          <w:color w:val="000000" w:themeColor="text1"/>
          <w:highlight w:val="none"/>
          <w14:textFill>
            <w14:solidFill>
              <w14:schemeClr w14:val="tx1"/>
            </w14:solidFill>
          </w14:textFill>
        </w:rPr>
        <w:t>应按照评标委员会推荐的</w:t>
      </w:r>
      <w:r>
        <w:rPr>
          <w:color w:val="000000" w:themeColor="text1"/>
          <w:highlight w:val="none"/>
          <w14:textFill>
            <w14:solidFill>
              <w14:schemeClr w14:val="tx1"/>
            </w14:solidFill>
          </w14:textFill>
        </w:rPr>
        <w:t>中标候选人</w:t>
      </w:r>
      <w:r>
        <w:rPr>
          <w:rFonts w:hint="eastAsia"/>
          <w:color w:val="000000" w:themeColor="text1"/>
          <w:highlight w:val="none"/>
          <w14:textFill>
            <w14:solidFill>
              <w14:schemeClr w14:val="tx1"/>
            </w14:solidFill>
          </w14:textFill>
        </w:rPr>
        <w:t>顺序确定</w:t>
      </w:r>
      <w:r>
        <w:rPr>
          <w:color w:val="000000" w:themeColor="text1"/>
          <w:highlight w:val="none"/>
          <w14:textFill>
            <w14:solidFill>
              <w14:schemeClr w14:val="tx1"/>
            </w14:solidFill>
          </w14:textFill>
        </w:rPr>
        <w:t>中标人。</w:t>
      </w:r>
    </w:p>
    <w:p w14:paraId="5E25F125">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评委在认真审阅投标文件的基础上，根据各投标文件的响应程度独立评判，不得统一打分。</w:t>
      </w:r>
    </w:p>
    <w:p w14:paraId="40B01FAC">
      <w:pPr>
        <w:pStyle w:val="3"/>
        <w:numPr>
          <w:ilvl w:val="0"/>
          <w:numId w:val="49"/>
        </w:numPr>
        <w:tabs>
          <w:tab w:val="left" w:pos="1204"/>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采购人（代表）对投标人资格进行审查。</w:t>
      </w:r>
    </w:p>
    <w:p w14:paraId="3E02EBCA">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投标人资格不合格的，其投标文件判定为无效投标文件。</w:t>
      </w:r>
    </w:p>
    <w:p w14:paraId="3DFB8EF1">
      <w:pPr>
        <w:pStyle w:val="3"/>
        <w:numPr>
          <w:ilvl w:val="0"/>
          <w:numId w:val="49"/>
        </w:numPr>
        <w:tabs>
          <w:tab w:val="left" w:pos="1204"/>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评标委员会对符合资格投标人的投标文件进行符合性审查。</w:t>
      </w:r>
    </w:p>
    <w:p w14:paraId="088C6DBA">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未通过符合性审查的投标文件，将被判定为不满足招标文件实质性要求。</w:t>
      </w:r>
    </w:p>
    <w:p w14:paraId="65007648">
      <w:pPr>
        <w:pStyle w:val="3"/>
        <w:numPr>
          <w:ilvl w:val="0"/>
          <w:numId w:val="49"/>
        </w:numPr>
        <w:tabs>
          <w:tab w:val="left" w:pos="1204"/>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商务技术分：</w:t>
      </w:r>
      <w:r>
        <w:rPr>
          <w:rFonts w:hint="eastAsia"/>
          <w:b/>
          <w:color w:val="000000" w:themeColor="text1"/>
          <w:highlight w:val="none"/>
          <w:lang w:val="en-US" w:eastAsia="zh-CN"/>
          <w14:textFill>
            <w14:solidFill>
              <w14:schemeClr w14:val="tx1"/>
            </w14:solidFill>
          </w14:textFill>
        </w:rPr>
        <w:t>7</w:t>
      </w:r>
      <w:r>
        <w:rPr>
          <w:b/>
          <w:color w:val="000000" w:themeColor="text1"/>
          <w:highlight w:val="none"/>
          <w14:textFill>
            <w14:solidFill>
              <w14:schemeClr w14:val="tx1"/>
            </w14:solidFill>
          </w14:textFill>
        </w:rPr>
        <w:t>0分</w:t>
      </w:r>
    </w:p>
    <w:p w14:paraId="30A44A2D">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各投标人商务技术分得分为评委会成员评分的算术平均分，分值保留小数点后两位。</w:t>
      </w:r>
    </w:p>
    <w:p w14:paraId="55C5728A">
      <w:pPr>
        <w:pStyle w:val="728"/>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w:t>
      </w:r>
    </w:p>
    <w:tbl>
      <w:tblPr>
        <w:tblStyle w:val="62"/>
        <w:tblpPr w:leftFromText="180" w:rightFromText="180" w:vertAnchor="text" w:horzAnchor="page" w:tblpXSpec="center" w:tblpY="57"/>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7922"/>
      </w:tblGrid>
      <w:tr w14:paraId="748FA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273" w:type="dxa"/>
            <w:noWrap w:val="0"/>
            <w:vAlign w:val="center"/>
          </w:tcPr>
          <w:p w14:paraId="41928FC1">
            <w:pPr>
              <w:jc w:val="center"/>
              <w:rPr>
                <w:color w:val="000000"/>
                <w:highlight w:val="none"/>
              </w:rPr>
            </w:pPr>
            <w:r>
              <w:rPr>
                <w:rFonts w:hint="eastAsia"/>
                <w:color w:val="000000"/>
                <w:highlight w:val="none"/>
              </w:rPr>
              <w:t>评审因素</w:t>
            </w:r>
          </w:p>
        </w:tc>
        <w:tc>
          <w:tcPr>
            <w:tcW w:w="7922" w:type="dxa"/>
            <w:noWrap w:val="0"/>
            <w:vAlign w:val="center"/>
          </w:tcPr>
          <w:p w14:paraId="5D72DE6C">
            <w:pPr>
              <w:jc w:val="center"/>
              <w:rPr>
                <w:color w:val="000000"/>
                <w:highlight w:val="none"/>
              </w:rPr>
            </w:pPr>
            <w:r>
              <w:rPr>
                <w:rFonts w:hint="eastAsia"/>
                <w:color w:val="000000"/>
                <w:highlight w:val="none"/>
              </w:rPr>
              <w:t>评审标准</w:t>
            </w:r>
          </w:p>
        </w:tc>
      </w:tr>
      <w:tr w14:paraId="564A2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273" w:type="dxa"/>
            <w:noWrap w:val="0"/>
            <w:vAlign w:val="center"/>
          </w:tcPr>
          <w:p w14:paraId="1943211B">
            <w:pPr>
              <w:spacing w:line="360" w:lineRule="auto"/>
              <w:jc w:val="center"/>
              <w:rPr>
                <w:rFonts w:hint="eastAsia" w:hAnsi="宋体" w:eastAsia="宋体" w:cs="宋体"/>
                <w:color w:val="000000"/>
                <w:highlight w:val="none"/>
                <w:lang w:val="en-US" w:eastAsia="zh-CN"/>
              </w:rPr>
            </w:pPr>
            <w:r>
              <w:rPr>
                <w:rFonts w:hint="eastAsia" w:hAnsi="宋体" w:cs="宋体"/>
                <w:color w:val="000000"/>
                <w:highlight w:val="none"/>
                <w:lang w:val="en-US" w:eastAsia="zh-CN"/>
              </w:rPr>
              <w:t>价格（30分）</w:t>
            </w:r>
          </w:p>
        </w:tc>
        <w:tc>
          <w:tcPr>
            <w:tcW w:w="7922" w:type="dxa"/>
            <w:noWrap w:val="0"/>
            <w:vAlign w:val="center"/>
          </w:tcPr>
          <w:p w14:paraId="2D10C787">
            <w:pPr>
              <w:spacing w:line="360" w:lineRule="auto"/>
              <w:jc w:val="left"/>
              <w:rPr>
                <w:rFonts w:hint="default" w:hAnsi="宋体" w:eastAsia="宋体" w:cs="宋体"/>
                <w:color w:val="000000"/>
                <w:highlight w:val="none"/>
                <w:lang w:val="en-US" w:eastAsia="zh-CN"/>
              </w:rPr>
            </w:pPr>
            <w:r>
              <w:rPr>
                <w:rFonts w:hint="eastAsia" w:hAnsi="宋体" w:cs="宋体"/>
                <w:color w:val="000000"/>
                <w:highlight w:val="none"/>
                <w:lang w:val="en-US" w:eastAsia="zh-CN"/>
              </w:rPr>
              <w:t>根据所投产品价格评分：</w:t>
            </w:r>
          </w:p>
          <w:p w14:paraId="32E2614F">
            <w:pPr>
              <w:spacing w:line="360" w:lineRule="auto"/>
              <w:jc w:val="left"/>
              <w:rPr>
                <w:rFonts w:hint="eastAsia" w:hAnsi="宋体" w:cs="宋体"/>
                <w:color w:val="000000"/>
                <w:highlight w:val="none"/>
              </w:rPr>
            </w:pPr>
            <w:r>
              <w:rPr>
                <w:rFonts w:hint="eastAsia" w:hAnsi="宋体" w:cs="宋体"/>
                <w:color w:val="000000"/>
                <w:highlight w:val="none"/>
              </w:rPr>
              <w:t>价格分统一采用低价优先法计算，即满足招标文件要求且投标价格最低的投标报价为评标基准价，其价格分为满分。其他投标人的价格分统一按照下列公式计算：</w:t>
            </w:r>
          </w:p>
          <w:p w14:paraId="2FBE7554">
            <w:pPr>
              <w:spacing w:line="360" w:lineRule="auto"/>
              <w:jc w:val="left"/>
              <w:rPr>
                <w:rFonts w:hint="eastAsia"/>
                <w:color w:val="000000"/>
                <w:highlight w:val="none"/>
              </w:rPr>
            </w:pPr>
            <w:r>
              <w:rPr>
                <w:rFonts w:hint="eastAsia" w:hAnsi="宋体" w:cs="宋体"/>
                <w:color w:val="000000"/>
                <w:highlight w:val="none"/>
              </w:rPr>
              <w:t>投标报价得分=（评标基准价/投标报价）×价格权值×100</w:t>
            </w:r>
          </w:p>
        </w:tc>
      </w:tr>
      <w:tr w14:paraId="7603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273" w:type="dxa"/>
            <w:noWrap w:val="0"/>
            <w:vAlign w:val="center"/>
          </w:tcPr>
          <w:p w14:paraId="14638057">
            <w:pPr>
              <w:spacing w:line="360" w:lineRule="auto"/>
              <w:jc w:val="center"/>
              <w:rPr>
                <w:rFonts w:hint="eastAsia" w:hAnsi="宋体" w:cs="宋体"/>
                <w:b/>
                <w:color w:val="000000"/>
                <w:highlight w:val="none"/>
              </w:rPr>
            </w:pPr>
            <w:r>
              <w:rPr>
                <w:rFonts w:hint="eastAsia" w:hAnsi="宋体" w:cs="宋体"/>
                <w:color w:val="000000"/>
                <w:highlight w:val="none"/>
              </w:rPr>
              <w:t>技术响应</w:t>
            </w:r>
          </w:p>
          <w:p w14:paraId="36ED9602">
            <w:pPr>
              <w:spacing w:line="360" w:lineRule="auto"/>
              <w:jc w:val="center"/>
              <w:rPr>
                <w:rFonts w:hint="eastAsia" w:hAnsi="宋体" w:cs="宋体"/>
                <w:b/>
                <w:color w:val="000000"/>
                <w:highlight w:val="none"/>
              </w:rPr>
            </w:pPr>
            <w:r>
              <w:rPr>
                <w:rFonts w:hint="eastAsia" w:hAnsi="宋体" w:cs="宋体"/>
                <w:color w:val="000000"/>
                <w:highlight w:val="none"/>
              </w:rPr>
              <w:t>（</w:t>
            </w:r>
            <w:r>
              <w:rPr>
                <w:rFonts w:hint="eastAsia" w:hAnsi="宋体" w:cs="宋体"/>
                <w:color w:val="000000"/>
                <w:highlight w:val="none"/>
                <w:lang w:val="en-US" w:eastAsia="zh-CN"/>
              </w:rPr>
              <w:t>47</w:t>
            </w:r>
            <w:r>
              <w:rPr>
                <w:rFonts w:hint="eastAsia" w:hAnsi="宋体" w:cs="宋体"/>
                <w:color w:val="000000"/>
                <w:highlight w:val="none"/>
              </w:rPr>
              <w:t>分）</w:t>
            </w:r>
          </w:p>
        </w:tc>
        <w:tc>
          <w:tcPr>
            <w:tcW w:w="7922" w:type="dxa"/>
            <w:noWrap w:val="0"/>
            <w:vAlign w:val="center"/>
          </w:tcPr>
          <w:p w14:paraId="7E0B2CF9">
            <w:pPr>
              <w:spacing w:line="360" w:lineRule="auto"/>
              <w:jc w:val="left"/>
              <w:rPr>
                <w:rFonts w:hint="eastAsia" w:hAnsi="宋体" w:cs="宋体"/>
                <w:color w:val="000000"/>
                <w:highlight w:val="none"/>
              </w:rPr>
            </w:pPr>
            <w:r>
              <w:rPr>
                <w:rFonts w:hint="eastAsia" w:hAnsi="宋体" w:cs="宋体"/>
                <w:color w:val="000000"/>
                <w:highlight w:val="none"/>
              </w:rPr>
              <w:t>评委根据投标人提供的《技术需求响应情况》对招标文件第三部分项目需求中技术参数部分的响应情况进行打分，最低得0分，最多得</w:t>
            </w:r>
            <w:r>
              <w:rPr>
                <w:rFonts w:hint="eastAsia" w:hAnsi="宋体" w:cs="宋体"/>
                <w:color w:val="000000"/>
                <w:highlight w:val="none"/>
                <w:lang w:val="en-US" w:eastAsia="zh-CN"/>
              </w:rPr>
              <w:t>47</w:t>
            </w:r>
            <w:r>
              <w:rPr>
                <w:rFonts w:hint="eastAsia" w:hAnsi="宋体" w:cs="宋体"/>
                <w:color w:val="000000"/>
                <w:highlight w:val="none"/>
              </w:rPr>
              <w:t>分。</w:t>
            </w:r>
          </w:p>
          <w:p w14:paraId="2BF355C8">
            <w:pPr>
              <w:spacing w:line="360" w:lineRule="auto"/>
              <w:jc w:val="left"/>
              <w:rPr>
                <w:rFonts w:hint="eastAsia" w:hAnsi="宋体" w:cs="宋体"/>
                <w:color w:val="000000"/>
                <w:highlight w:val="none"/>
              </w:rPr>
            </w:pPr>
            <w:r>
              <w:rPr>
                <w:rFonts w:hint="eastAsia" w:hAnsi="宋体" w:cs="宋体"/>
                <w:color w:val="000000"/>
                <w:highlight w:val="none"/>
              </w:rPr>
              <w:t>招标文件</w:t>
            </w:r>
            <w:r>
              <w:rPr>
                <w:rFonts w:hint="eastAsia" w:hAnsi="宋体" w:cs="宋体"/>
                <w:color w:val="000000"/>
                <w:highlight w:val="none"/>
                <w:lang w:eastAsia="zh-CN"/>
              </w:rPr>
              <w:t>《</w:t>
            </w:r>
            <w:r>
              <w:rPr>
                <w:rFonts w:hint="eastAsia" w:hAnsi="宋体" w:cs="宋体"/>
                <w:color w:val="000000"/>
                <w:highlight w:val="none"/>
              </w:rPr>
              <w:t>第三部分</w:t>
            </w:r>
            <w:r>
              <w:rPr>
                <w:rFonts w:hint="eastAsia" w:hAnsi="宋体" w:cs="宋体"/>
                <w:color w:val="000000"/>
                <w:highlight w:val="none"/>
                <w:lang w:eastAsia="zh-CN"/>
              </w:rPr>
              <w:t>》</w:t>
            </w:r>
            <w:r>
              <w:rPr>
                <w:rFonts w:hint="eastAsia" w:hAnsi="宋体" w:cs="宋体"/>
                <w:color w:val="000000"/>
                <w:highlight w:val="none"/>
                <w:lang w:val="en-US" w:eastAsia="zh-CN"/>
              </w:rPr>
              <w:t>《</w:t>
            </w:r>
            <w:r>
              <w:rPr>
                <w:rFonts w:hint="eastAsia" w:hAnsi="宋体" w:cs="宋体"/>
                <w:color w:val="000000"/>
                <w:highlight w:val="none"/>
              </w:rPr>
              <w:t>二、技术要求</w:t>
            </w:r>
            <w:r>
              <w:rPr>
                <w:rFonts w:hint="eastAsia" w:hAnsi="宋体" w:cs="宋体"/>
                <w:color w:val="000000"/>
                <w:highlight w:val="none"/>
                <w:lang w:val="en-US" w:eastAsia="zh-CN"/>
              </w:rPr>
              <w:t>》</w:t>
            </w:r>
            <w:r>
              <w:rPr>
                <w:rFonts w:hint="eastAsia" w:hAnsi="宋体" w:cs="宋体"/>
                <w:color w:val="000000"/>
                <w:highlight w:val="none"/>
              </w:rPr>
              <w:t>中：</w:t>
            </w:r>
          </w:p>
          <w:p w14:paraId="7D8D14B0">
            <w:pPr>
              <w:spacing w:line="360" w:lineRule="auto"/>
              <w:jc w:val="left"/>
              <w:rPr>
                <w:rFonts w:hint="default" w:hAnsi="宋体" w:eastAsia="宋体" w:cs="宋体"/>
                <w:color w:val="000000"/>
                <w:highlight w:val="none"/>
                <w:lang w:val="en-US" w:eastAsia="zh-CN"/>
              </w:rPr>
            </w:pPr>
            <w:r>
              <w:rPr>
                <w:rFonts w:hint="eastAsia" w:hAnsi="宋体" w:cs="宋体"/>
                <w:color w:val="000000"/>
                <w:highlight w:val="none"/>
                <w:lang w:val="en-US" w:eastAsia="zh-CN"/>
              </w:rPr>
              <w:t>1</w:t>
            </w:r>
            <w:r>
              <w:rPr>
                <w:rFonts w:hint="eastAsia" w:hAnsi="宋体" w:cs="宋体"/>
                <w:color w:val="000000"/>
                <w:highlight w:val="none"/>
              </w:rPr>
              <w:t>.标注“★”的为</w:t>
            </w:r>
            <w:r>
              <w:rPr>
                <w:rFonts w:hint="eastAsia" w:hAnsi="宋体" w:cs="宋体"/>
                <w:color w:val="000000"/>
                <w:highlight w:val="none"/>
                <w:lang w:val="en-US" w:eastAsia="zh-CN"/>
              </w:rPr>
              <w:t>实质性要求</w:t>
            </w:r>
            <w:r>
              <w:rPr>
                <w:rFonts w:hint="eastAsia" w:hAnsi="宋体" w:cs="宋体"/>
                <w:color w:val="000000"/>
                <w:highlight w:val="none"/>
              </w:rPr>
              <w:t>，共</w:t>
            </w:r>
            <w:r>
              <w:rPr>
                <w:rFonts w:hint="eastAsia" w:hAnsi="宋体" w:cs="宋体"/>
                <w:color w:val="000000"/>
                <w:highlight w:val="none"/>
                <w:lang w:val="en-US" w:eastAsia="zh-CN"/>
              </w:rPr>
              <w:t>2</w:t>
            </w:r>
            <w:r>
              <w:rPr>
                <w:rFonts w:hint="eastAsia" w:hAnsi="宋体" w:cs="宋体"/>
                <w:color w:val="000000"/>
                <w:highlight w:val="none"/>
              </w:rPr>
              <w:t>项</w:t>
            </w:r>
            <w:r>
              <w:rPr>
                <w:rFonts w:hint="eastAsia" w:hAnsi="宋体" w:cs="宋体"/>
                <w:color w:val="000000"/>
                <w:highlight w:val="none"/>
                <w:lang w:eastAsia="zh-CN"/>
              </w:rPr>
              <w:t>，</w:t>
            </w:r>
            <w:r>
              <w:rPr>
                <w:rFonts w:hint="eastAsia" w:hAnsi="宋体" w:cs="宋体"/>
                <w:color w:val="000000"/>
                <w:highlight w:val="none"/>
                <w:lang w:val="en-US" w:eastAsia="zh-CN"/>
              </w:rPr>
              <w:t>有任意一项不满足的即为无效投标。</w:t>
            </w:r>
          </w:p>
          <w:p w14:paraId="53919440">
            <w:pPr>
              <w:spacing w:line="360" w:lineRule="auto"/>
              <w:jc w:val="left"/>
              <w:rPr>
                <w:rFonts w:hint="eastAsia" w:hAnsi="宋体" w:eastAsia="宋体" w:cs="宋体"/>
                <w:color w:val="000000"/>
                <w:highlight w:val="none"/>
                <w:lang w:eastAsia="zh-CN"/>
              </w:rPr>
            </w:pPr>
            <w:r>
              <w:rPr>
                <w:rFonts w:hint="eastAsia" w:hAnsi="宋体" w:cs="宋体"/>
                <w:color w:val="000000"/>
                <w:highlight w:val="none"/>
                <w:lang w:val="en-US" w:eastAsia="zh-CN"/>
              </w:rPr>
              <w:t>2.</w:t>
            </w:r>
            <w:r>
              <w:rPr>
                <w:rFonts w:hint="eastAsia" w:hAnsi="宋体" w:cs="宋体"/>
                <w:color w:val="000000"/>
                <w:highlight w:val="none"/>
              </w:rPr>
              <w:t>标注“▲”的为重要技术参数，共</w:t>
            </w:r>
            <w:r>
              <w:rPr>
                <w:rFonts w:hint="eastAsia" w:hAnsi="宋体" w:cs="宋体"/>
                <w:color w:val="000000"/>
                <w:highlight w:val="none"/>
                <w:lang w:val="en-US" w:eastAsia="zh-CN"/>
              </w:rPr>
              <w:t>5</w:t>
            </w:r>
            <w:r>
              <w:rPr>
                <w:rFonts w:hint="eastAsia" w:hAnsi="宋体" w:cs="宋体"/>
                <w:color w:val="000000"/>
                <w:highlight w:val="none"/>
              </w:rPr>
              <w:t>项，每满足一项加5分，本条最多得</w:t>
            </w:r>
            <w:r>
              <w:rPr>
                <w:rFonts w:hint="eastAsia" w:hAnsi="宋体" w:cs="宋体"/>
                <w:color w:val="000000"/>
                <w:highlight w:val="none"/>
                <w:lang w:val="en-US" w:eastAsia="zh-CN"/>
              </w:rPr>
              <w:t>25</w:t>
            </w:r>
            <w:r>
              <w:rPr>
                <w:rFonts w:hint="eastAsia" w:hAnsi="宋体" w:cs="宋体"/>
                <w:color w:val="000000"/>
                <w:highlight w:val="none"/>
              </w:rPr>
              <w:t>分</w:t>
            </w:r>
            <w:r>
              <w:rPr>
                <w:rFonts w:hint="eastAsia" w:hAnsi="宋体" w:cs="宋体"/>
                <w:color w:val="000000"/>
                <w:highlight w:val="none"/>
                <w:lang w:eastAsia="zh-CN"/>
              </w:rPr>
              <w:t>；</w:t>
            </w:r>
          </w:p>
          <w:p w14:paraId="78C6CF80">
            <w:pPr>
              <w:spacing w:line="360" w:lineRule="auto"/>
              <w:jc w:val="left"/>
              <w:rPr>
                <w:rFonts w:hint="eastAsia" w:hAnsi="宋体" w:cs="宋体"/>
                <w:color w:val="000000"/>
                <w:highlight w:val="none"/>
              </w:rPr>
            </w:pPr>
            <w:r>
              <w:rPr>
                <w:rFonts w:hint="eastAsia" w:hAnsi="宋体" w:cs="宋体"/>
                <w:color w:val="000000"/>
                <w:highlight w:val="none"/>
                <w:lang w:val="en-US" w:eastAsia="zh-CN"/>
              </w:rPr>
              <w:t>3</w:t>
            </w:r>
            <w:r>
              <w:rPr>
                <w:rFonts w:hint="eastAsia" w:hAnsi="宋体" w:cs="宋体"/>
                <w:color w:val="000000"/>
                <w:highlight w:val="none"/>
              </w:rPr>
              <w:t>.未标注“★”“▲”的参数为一般技术参数，共</w:t>
            </w:r>
            <w:r>
              <w:rPr>
                <w:rFonts w:hint="eastAsia" w:hAnsi="宋体" w:cs="宋体"/>
                <w:color w:val="000000"/>
                <w:highlight w:val="none"/>
                <w:lang w:val="en-US" w:eastAsia="zh-CN"/>
              </w:rPr>
              <w:t>22</w:t>
            </w:r>
            <w:r>
              <w:rPr>
                <w:rFonts w:hint="eastAsia" w:hAnsi="宋体" w:cs="宋体"/>
                <w:color w:val="000000"/>
                <w:highlight w:val="none"/>
              </w:rPr>
              <w:t>项，每满足一项加</w:t>
            </w:r>
            <w:r>
              <w:rPr>
                <w:rFonts w:hint="eastAsia" w:hAnsi="宋体" w:cs="宋体"/>
                <w:color w:val="000000"/>
                <w:highlight w:val="none"/>
                <w:lang w:val="en-US" w:eastAsia="zh-CN"/>
              </w:rPr>
              <w:t>1</w:t>
            </w:r>
            <w:r>
              <w:rPr>
                <w:rFonts w:hint="eastAsia" w:hAnsi="宋体" w:cs="宋体"/>
                <w:color w:val="000000"/>
                <w:highlight w:val="none"/>
              </w:rPr>
              <w:t>分，本条最多得</w:t>
            </w:r>
            <w:r>
              <w:rPr>
                <w:rFonts w:hint="eastAsia" w:hAnsi="宋体" w:cs="宋体"/>
                <w:color w:val="000000"/>
                <w:highlight w:val="none"/>
                <w:lang w:val="en-US" w:eastAsia="zh-CN"/>
              </w:rPr>
              <w:t>22</w:t>
            </w:r>
            <w:r>
              <w:rPr>
                <w:rFonts w:hint="eastAsia" w:hAnsi="宋体" w:cs="宋体"/>
                <w:color w:val="000000"/>
                <w:highlight w:val="none"/>
              </w:rPr>
              <w:t>分；</w:t>
            </w:r>
          </w:p>
          <w:p w14:paraId="0F21C8D4">
            <w:pPr>
              <w:spacing w:line="360" w:lineRule="auto"/>
              <w:jc w:val="left"/>
              <w:rPr>
                <w:rFonts w:hint="eastAsia" w:hAnsi="宋体" w:cs="宋体"/>
                <w:color w:val="000000"/>
                <w:highlight w:val="none"/>
              </w:rPr>
            </w:pPr>
            <w:r>
              <w:rPr>
                <w:rFonts w:hint="eastAsia" w:hAnsi="宋体" w:cs="宋体"/>
                <w:color w:val="000000"/>
                <w:highlight w:val="none"/>
              </w:rPr>
              <w:t>注：</w:t>
            </w:r>
          </w:p>
          <w:p w14:paraId="71E7BAF7">
            <w:pPr>
              <w:spacing w:line="360" w:lineRule="auto"/>
              <w:jc w:val="left"/>
              <w:rPr>
                <w:rFonts w:hint="eastAsia" w:hAnsi="宋体" w:cs="宋体"/>
                <w:color w:val="000000"/>
                <w:highlight w:val="none"/>
              </w:rPr>
            </w:pPr>
            <w:r>
              <w:rPr>
                <w:rFonts w:hint="eastAsia" w:hAnsi="宋体" w:cs="宋体"/>
                <w:color w:val="000000"/>
                <w:highlight w:val="none"/>
              </w:rPr>
              <w:t>1.“★”“▲”参数</w:t>
            </w:r>
            <w:r>
              <w:rPr>
                <w:rFonts w:hint="eastAsia" w:hAnsi="宋体" w:cs="宋体"/>
                <w:color w:val="000000"/>
                <w:highlight w:val="none"/>
                <w:lang w:val="en-US" w:eastAsia="zh-CN"/>
              </w:rPr>
              <w:t>以及</w:t>
            </w:r>
            <w:r>
              <w:rPr>
                <w:rFonts w:hint="eastAsia" w:hAnsi="宋体" w:cs="宋体"/>
                <w:color w:val="000000"/>
                <w:highlight w:val="none"/>
              </w:rPr>
              <w:t>项目需求中</w:t>
            </w:r>
            <w:r>
              <w:rPr>
                <w:rFonts w:hint="eastAsia" w:hAnsi="宋体" w:cs="宋体"/>
                <w:color w:val="000000"/>
                <w:highlight w:val="none"/>
                <w:lang w:val="en-US" w:eastAsia="zh-CN"/>
              </w:rPr>
              <w:t>作出要求的部分一般技术参数</w:t>
            </w:r>
            <w:r>
              <w:rPr>
                <w:rFonts w:hint="eastAsia" w:hAnsi="宋体" w:cs="宋体"/>
                <w:color w:val="000000"/>
                <w:highlight w:val="none"/>
              </w:rPr>
              <w:t>的响应需按要求提供证明材料。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w:t>
            </w:r>
            <w:r>
              <w:rPr>
                <w:rFonts w:hint="eastAsia" w:hAnsi="宋体" w:cs="宋体"/>
                <w:color w:val="000000"/>
                <w:highlight w:val="none"/>
                <w:lang w:val="en-US" w:eastAsia="zh-CN"/>
              </w:rPr>
              <w:t>可不满足要求进行评审</w:t>
            </w:r>
            <w:r>
              <w:rPr>
                <w:rFonts w:hint="eastAsia" w:hAnsi="宋体" w:cs="宋体"/>
                <w:color w:val="000000"/>
                <w:highlight w:val="none"/>
              </w:rPr>
              <w:t>。</w:t>
            </w:r>
          </w:p>
          <w:p w14:paraId="042DCD9E">
            <w:pPr>
              <w:spacing w:line="360" w:lineRule="auto"/>
              <w:jc w:val="left"/>
              <w:rPr>
                <w:color w:val="000000"/>
                <w:highlight w:val="none"/>
              </w:rPr>
            </w:pPr>
            <w:r>
              <w:rPr>
                <w:rFonts w:hint="eastAsia" w:hAnsi="宋体" w:cs="宋体"/>
                <w:color w:val="000000"/>
                <w:highlight w:val="none"/>
              </w:rPr>
              <w:t>2.所有参数均须逐条响应。</w:t>
            </w:r>
          </w:p>
        </w:tc>
      </w:tr>
      <w:tr w14:paraId="1820A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1273" w:type="dxa"/>
            <w:noWrap w:val="0"/>
            <w:vAlign w:val="center"/>
          </w:tcPr>
          <w:p w14:paraId="1E72D2DD">
            <w:pPr>
              <w:spacing w:line="360" w:lineRule="auto"/>
              <w:jc w:val="center"/>
              <w:rPr>
                <w:rFonts w:hint="eastAsia" w:hAnsi="宋体" w:cs="宋体"/>
                <w:b/>
                <w:bCs/>
                <w:color w:val="000000"/>
                <w:highlight w:val="none"/>
              </w:rPr>
            </w:pPr>
            <w:r>
              <w:rPr>
                <w:rFonts w:hint="eastAsia" w:hAnsi="宋体" w:cs="宋体"/>
                <w:bCs/>
                <w:color w:val="000000"/>
                <w:highlight w:val="none"/>
              </w:rPr>
              <w:t>供货、培训、售后服务方案</w:t>
            </w:r>
          </w:p>
          <w:p w14:paraId="00DE34FC">
            <w:pPr>
              <w:spacing w:line="360" w:lineRule="auto"/>
              <w:jc w:val="center"/>
              <w:rPr>
                <w:rFonts w:hint="eastAsia" w:hAnsi="宋体" w:cs="宋体"/>
                <w:b/>
                <w:bCs/>
                <w:color w:val="000000"/>
                <w:highlight w:val="none"/>
              </w:rPr>
            </w:pPr>
            <w:r>
              <w:rPr>
                <w:rFonts w:hint="eastAsia" w:hAnsi="宋体" w:cs="宋体"/>
                <w:bCs/>
                <w:color w:val="000000"/>
                <w:highlight w:val="none"/>
              </w:rPr>
              <w:t>（</w:t>
            </w:r>
            <w:r>
              <w:rPr>
                <w:rFonts w:hint="eastAsia" w:hAnsi="宋体" w:cs="宋体"/>
                <w:bCs/>
                <w:color w:val="000000"/>
                <w:highlight w:val="none"/>
                <w:lang w:val="en-US" w:eastAsia="zh-CN"/>
              </w:rPr>
              <w:t>18</w:t>
            </w:r>
            <w:r>
              <w:rPr>
                <w:rFonts w:hint="eastAsia" w:hAnsi="宋体" w:cs="宋体"/>
                <w:bCs/>
                <w:color w:val="000000"/>
                <w:highlight w:val="none"/>
              </w:rPr>
              <w:t>分）</w:t>
            </w:r>
          </w:p>
        </w:tc>
        <w:tc>
          <w:tcPr>
            <w:tcW w:w="7922" w:type="dxa"/>
            <w:noWrap w:val="0"/>
            <w:vAlign w:val="center"/>
          </w:tcPr>
          <w:p w14:paraId="28B32BD1">
            <w:pPr>
              <w:spacing w:line="360" w:lineRule="auto"/>
              <w:jc w:val="left"/>
              <w:rPr>
                <w:rFonts w:hint="eastAsia"/>
                <w:highlight w:val="none"/>
              </w:rPr>
            </w:pPr>
            <w:r>
              <w:rPr>
                <w:rFonts w:hint="eastAsia"/>
                <w:highlight w:val="none"/>
                <w:lang w:eastAsia="zh-CN"/>
              </w:rPr>
              <w:t>（一）</w:t>
            </w:r>
            <w:r>
              <w:rPr>
                <w:rFonts w:hint="eastAsia"/>
                <w:highlight w:val="none"/>
              </w:rPr>
              <w:t>项目实施方案（</w:t>
            </w:r>
            <w:r>
              <w:rPr>
                <w:rFonts w:hint="eastAsia"/>
                <w:highlight w:val="none"/>
                <w:lang w:val="en-US" w:eastAsia="zh-CN"/>
              </w:rPr>
              <w:t>5</w:t>
            </w:r>
            <w:r>
              <w:rPr>
                <w:rFonts w:hint="eastAsia"/>
                <w:highlight w:val="none"/>
              </w:rPr>
              <w:t>分）</w:t>
            </w:r>
          </w:p>
          <w:p w14:paraId="10B228AC">
            <w:pPr>
              <w:spacing w:line="360" w:lineRule="auto"/>
              <w:ind w:firstLine="420" w:firstLineChars="200"/>
              <w:jc w:val="left"/>
              <w:rPr>
                <w:rFonts w:hint="eastAsia"/>
                <w:highlight w:val="none"/>
              </w:rPr>
            </w:pPr>
            <w:r>
              <w:rPr>
                <w:rFonts w:hint="eastAsia"/>
                <w:highlight w:val="none"/>
              </w:rPr>
              <w:t>根据各投标人提供的项目实施方案内容（包括但不限于a项目整体管理方案、b人员组织管理及架构设置、c投标人与上游供应链及终端用户沟通渠道保障、d项目整体实施进度计划及推进方案、e项目整体安全保障措施等）的完备程度及针对性、合理性进行评审：</w:t>
            </w:r>
          </w:p>
          <w:p w14:paraId="43E3FF29">
            <w:pPr>
              <w:spacing w:line="360" w:lineRule="auto"/>
              <w:jc w:val="left"/>
              <w:rPr>
                <w:rFonts w:hint="eastAsia"/>
                <w:highlight w:val="none"/>
              </w:rPr>
            </w:pPr>
            <w:r>
              <w:rPr>
                <w:rFonts w:hint="eastAsia"/>
                <w:highlight w:val="none"/>
              </w:rPr>
              <w:t xml:space="preserve">完全涵盖以上5项内容最多得5分；包含任意1项最多得1分。 </w:t>
            </w:r>
          </w:p>
          <w:p w14:paraId="3CA28A7A">
            <w:pPr>
              <w:spacing w:line="360" w:lineRule="auto"/>
              <w:jc w:val="left"/>
              <w:rPr>
                <w:rFonts w:hint="eastAsia"/>
                <w:highlight w:val="none"/>
              </w:rPr>
            </w:pPr>
            <w:r>
              <w:rPr>
                <w:rFonts w:hint="eastAsia"/>
                <w:highlight w:val="none"/>
              </w:rPr>
              <w:t>注：评标委员会根据各供应商的对应响应方案按照以下量化评审因素指标对各项要求进行满足性判断：</w:t>
            </w:r>
          </w:p>
          <w:p w14:paraId="035E0950">
            <w:pPr>
              <w:spacing w:line="360" w:lineRule="auto"/>
              <w:jc w:val="left"/>
              <w:rPr>
                <w:rFonts w:hint="eastAsia"/>
                <w:highlight w:val="none"/>
              </w:rPr>
            </w:pPr>
            <w:r>
              <w:rPr>
                <w:rFonts w:hint="eastAsia"/>
                <w:highlight w:val="none"/>
              </w:rPr>
              <w:t>1、方案内容完整清晰、安排合理、完全针对采购人需求优化设计的，得1分；</w:t>
            </w:r>
          </w:p>
          <w:p w14:paraId="72DD7603">
            <w:pPr>
              <w:spacing w:line="360" w:lineRule="auto"/>
              <w:jc w:val="left"/>
              <w:rPr>
                <w:rFonts w:hint="eastAsia"/>
                <w:highlight w:val="none"/>
              </w:rPr>
            </w:pPr>
            <w:r>
              <w:rPr>
                <w:rFonts w:hint="eastAsia"/>
                <w:highlight w:val="none"/>
              </w:rPr>
              <w:t>2、方案内容不够完整清晰、安排合理性不足、未针对采购人需求设计的，得0.5分；</w:t>
            </w:r>
          </w:p>
          <w:p w14:paraId="7860FFDB">
            <w:pPr>
              <w:spacing w:line="360" w:lineRule="auto"/>
              <w:jc w:val="left"/>
              <w:rPr>
                <w:rFonts w:hint="eastAsia"/>
                <w:highlight w:val="none"/>
              </w:rPr>
            </w:pPr>
            <w:r>
              <w:rPr>
                <w:rFonts w:hint="eastAsia"/>
                <w:highlight w:val="none"/>
              </w:rPr>
              <w:t>3、未提供或者经评标委员会认定完全不具备可行性的不得分。</w:t>
            </w:r>
          </w:p>
          <w:p w14:paraId="2B930A9F">
            <w:pPr>
              <w:spacing w:line="360" w:lineRule="auto"/>
              <w:jc w:val="left"/>
              <w:rPr>
                <w:rFonts w:hint="eastAsia"/>
                <w:highlight w:val="none"/>
              </w:rPr>
            </w:pPr>
            <w:r>
              <w:rPr>
                <w:rFonts w:hint="eastAsia"/>
                <w:highlight w:val="none"/>
                <w:lang w:val="en-US" w:eastAsia="zh-CN"/>
              </w:rPr>
              <w:t>（二）</w:t>
            </w:r>
            <w:r>
              <w:rPr>
                <w:rFonts w:hint="eastAsia"/>
                <w:highlight w:val="none"/>
              </w:rPr>
              <w:t>运输安装调试方案（</w:t>
            </w:r>
            <w:r>
              <w:rPr>
                <w:rFonts w:hint="eastAsia"/>
                <w:highlight w:val="none"/>
                <w:lang w:val="en-US" w:eastAsia="zh-CN"/>
              </w:rPr>
              <w:t>4</w:t>
            </w:r>
            <w:r>
              <w:rPr>
                <w:rFonts w:hint="eastAsia"/>
                <w:highlight w:val="none"/>
              </w:rPr>
              <w:t>分）</w:t>
            </w:r>
          </w:p>
          <w:p w14:paraId="103FC73B">
            <w:pPr>
              <w:spacing w:line="360" w:lineRule="auto"/>
              <w:ind w:firstLine="420" w:firstLineChars="200"/>
              <w:jc w:val="left"/>
              <w:rPr>
                <w:rFonts w:hint="eastAsia"/>
                <w:highlight w:val="none"/>
              </w:rPr>
            </w:pPr>
            <w:r>
              <w:rPr>
                <w:rFonts w:hint="eastAsia"/>
                <w:highlight w:val="none"/>
              </w:rPr>
              <w:t>根据各投标人针对本项目拟定的运输安装调试方案（包括但不限于a</w:t>
            </w:r>
            <w:r>
              <w:rPr>
                <w:rFonts w:hint="eastAsia"/>
                <w:highlight w:val="none"/>
                <w:lang w:val="en-US" w:eastAsia="zh-CN"/>
              </w:rPr>
              <w:t>设备</w:t>
            </w:r>
            <w:r>
              <w:rPr>
                <w:rFonts w:hint="eastAsia"/>
                <w:highlight w:val="none"/>
              </w:rPr>
              <w:t>出</w:t>
            </w:r>
            <w:r>
              <w:rPr>
                <w:rFonts w:hint="eastAsia"/>
                <w:highlight w:val="none"/>
                <w:lang w:val="en-US" w:eastAsia="zh-CN"/>
              </w:rPr>
              <w:t>厂</w:t>
            </w:r>
            <w:r>
              <w:rPr>
                <w:rFonts w:hint="eastAsia"/>
                <w:highlight w:val="none"/>
              </w:rPr>
              <w:t>、运输及</w:t>
            </w:r>
            <w:r>
              <w:rPr>
                <w:rFonts w:hint="eastAsia"/>
                <w:highlight w:val="none"/>
                <w:lang w:val="en-US" w:eastAsia="zh-CN"/>
              </w:rPr>
              <w:t>装卸保障措施</w:t>
            </w:r>
            <w:r>
              <w:rPr>
                <w:rFonts w:hint="eastAsia"/>
                <w:highlight w:val="none"/>
              </w:rPr>
              <w:t>、</w:t>
            </w:r>
            <w:r>
              <w:rPr>
                <w:rFonts w:hint="eastAsia"/>
                <w:highlight w:val="none"/>
                <w:lang w:val="en-US" w:eastAsia="zh-CN"/>
              </w:rPr>
              <w:t>b</w:t>
            </w:r>
            <w:r>
              <w:rPr>
                <w:rFonts w:hint="eastAsia"/>
                <w:highlight w:val="none"/>
              </w:rPr>
              <w:t>设备安装及初始化调试、</w:t>
            </w:r>
            <w:r>
              <w:rPr>
                <w:rFonts w:hint="eastAsia"/>
                <w:highlight w:val="none"/>
                <w:lang w:val="en-US" w:eastAsia="zh-CN"/>
              </w:rPr>
              <w:t>c</w:t>
            </w:r>
            <w:r>
              <w:rPr>
                <w:rFonts w:hint="eastAsia"/>
                <w:highlight w:val="none"/>
              </w:rPr>
              <w:t>设备验收检查流程、</w:t>
            </w:r>
            <w:r>
              <w:rPr>
                <w:rFonts w:hint="eastAsia"/>
                <w:highlight w:val="none"/>
                <w:lang w:val="en-US" w:eastAsia="zh-CN"/>
              </w:rPr>
              <w:t>d</w:t>
            </w:r>
            <w:r>
              <w:rPr>
                <w:rFonts w:hint="eastAsia"/>
                <w:highlight w:val="none"/>
              </w:rPr>
              <w:t>技术人员配置及各流程交接方案等）进行评审：</w:t>
            </w:r>
          </w:p>
          <w:p w14:paraId="73BFFE31">
            <w:pPr>
              <w:spacing w:line="360" w:lineRule="auto"/>
              <w:jc w:val="left"/>
              <w:rPr>
                <w:rFonts w:hint="eastAsia"/>
                <w:highlight w:val="none"/>
              </w:rPr>
            </w:pPr>
            <w:r>
              <w:rPr>
                <w:rFonts w:hint="eastAsia"/>
                <w:highlight w:val="none"/>
              </w:rPr>
              <w:t>完全涵盖以上</w:t>
            </w:r>
            <w:r>
              <w:rPr>
                <w:rFonts w:hint="eastAsia"/>
                <w:highlight w:val="none"/>
                <w:lang w:val="en-US" w:eastAsia="zh-CN"/>
              </w:rPr>
              <w:t>4</w:t>
            </w:r>
            <w:r>
              <w:rPr>
                <w:rFonts w:hint="eastAsia"/>
                <w:highlight w:val="none"/>
              </w:rPr>
              <w:t>项内容最多得</w:t>
            </w:r>
            <w:r>
              <w:rPr>
                <w:rFonts w:hint="eastAsia"/>
                <w:highlight w:val="none"/>
                <w:lang w:val="en-US" w:eastAsia="zh-CN"/>
              </w:rPr>
              <w:t>4</w:t>
            </w:r>
            <w:r>
              <w:rPr>
                <w:rFonts w:hint="eastAsia"/>
                <w:highlight w:val="none"/>
              </w:rPr>
              <w:t xml:space="preserve">分；包含任意1项最多得1分。 </w:t>
            </w:r>
          </w:p>
          <w:p w14:paraId="4216082F">
            <w:pPr>
              <w:spacing w:line="360" w:lineRule="auto"/>
              <w:jc w:val="left"/>
              <w:rPr>
                <w:rFonts w:hint="eastAsia"/>
                <w:highlight w:val="none"/>
              </w:rPr>
            </w:pPr>
            <w:r>
              <w:rPr>
                <w:rFonts w:hint="eastAsia"/>
                <w:highlight w:val="none"/>
              </w:rPr>
              <w:t>注：评标委员会根据各供应商的对应响应方案按照以下量化评审因素指标对各项要求进行满足性判断：</w:t>
            </w:r>
          </w:p>
          <w:p w14:paraId="3BD52EA3">
            <w:pPr>
              <w:spacing w:line="360" w:lineRule="auto"/>
              <w:jc w:val="left"/>
              <w:rPr>
                <w:rFonts w:hint="eastAsia"/>
                <w:highlight w:val="none"/>
              </w:rPr>
            </w:pPr>
            <w:r>
              <w:rPr>
                <w:rFonts w:hint="eastAsia"/>
                <w:highlight w:val="none"/>
              </w:rPr>
              <w:t>1、安装调试方案完整详尽，专业性、可行性强，考虑周全，思路特别清晰，符合项目需求，得1分；</w:t>
            </w:r>
          </w:p>
          <w:p w14:paraId="5B982A07">
            <w:pPr>
              <w:spacing w:line="360" w:lineRule="auto"/>
              <w:jc w:val="left"/>
              <w:rPr>
                <w:rFonts w:hint="eastAsia"/>
                <w:highlight w:val="none"/>
              </w:rPr>
            </w:pPr>
            <w:r>
              <w:rPr>
                <w:rFonts w:hint="eastAsia"/>
                <w:highlight w:val="none"/>
              </w:rPr>
              <w:t>2、对项目执行有一定认识，方案较为完整，思路基本清晰，基本符合项目需求，该项得0.5分；</w:t>
            </w:r>
          </w:p>
          <w:p w14:paraId="16133976">
            <w:pPr>
              <w:spacing w:line="360" w:lineRule="auto"/>
              <w:jc w:val="left"/>
              <w:rPr>
                <w:rFonts w:hint="eastAsia"/>
                <w:highlight w:val="none"/>
              </w:rPr>
            </w:pPr>
            <w:r>
              <w:rPr>
                <w:rFonts w:hint="eastAsia"/>
                <w:highlight w:val="none"/>
              </w:rPr>
              <w:t>3、未提供或者经评标委员会认定完全不具备可行性的不得分。</w:t>
            </w:r>
          </w:p>
          <w:p w14:paraId="63C2231B">
            <w:pPr>
              <w:spacing w:line="360" w:lineRule="auto"/>
              <w:jc w:val="left"/>
              <w:rPr>
                <w:rFonts w:hint="eastAsia"/>
                <w:highlight w:val="none"/>
              </w:rPr>
            </w:pPr>
            <w:r>
              <w:rPr>
                <w:rFonts w:hint="eastAsia"/>
                <w:highlight w:val="none"/>
                <w:lang w:eastAsia="zh-CN"/>
              </w:rPr>
              <w:t>（</w:t>
            </w:r>
            <w:r>
              <w:rPr>
                <w:rFonts w:hint="eastAsia"/>
                <w:highlight w:val="none"/>
                <w:lang w:val="en-US" w:eastAsia="zh-CN"/>
              </w:rPr>
              <w:t>三</w:t>
            </w:r>
            <w:r>
              <w:rPr>
                <w:rFonts w:hint="eastAsia"/>
                <w:highlight w:val="none"/>
                <w:lang w:eastAsia="zh-CN"/>
              </w:rPr>
              <w:t>）</w:t>
            </w:r>
            <w:r>
              <w:rPr>
                <w:rFonts w:hint="eastAsia"/>
                <w:highlight w:val="none"/>
              </w:rPr>
              <w:t>培训方案（</w:t>
            </w:r>
            <w:r>
              <w:rPr>
                <w:rFonts w:hint="eastAsia"/>
                <w:highlight w:val="none"/>
                <w:lang w:val="en-US" w:eastAsia="zh-CN"/>
              </w:rPr>
              <w:t>3</w:t>
            </w:r>
            <w:r>
              <w:rPr>
                <w:rFonts w:hint="eastAsia"/>
                <w:highlight w:val="none"/>
              </w:rPr>
              <w:t>分）</w:t>
            </w:r>
          </w:p>
          <w:p w14:paraId="39246E7A">
            <w:pPr>
              <w:spacing w:line="360" w:lineRule="auto"/>
              <w:ind w:firstLine="420" w:firstLineChars="200"/>
              <w:jc w:val="left"/>
              <w:rPr>
                <w:rFonts w:hint="eastAsia"/>
                <w:highlight w:val="none"/>
              </w:rPr>
            </w:pPr>
            <w:r>
              <w:rPr>
                <w:rFonts w:hint="eastAsia"/>
                <w:highlight w:val="none"/>
              </w:rPr>
              <w:t>根据各投标人针对本项目拟定的培训方案（包括但不限于a日常操作</w:t>
            </w:r>
            <w:r>
              <w:rPr>
                <w:rFonts w:hint="eastAsia"/>
                <w:highlight w:val="none"/>
                <w:lang w:val="en-US" w:eastAsia="zh-CN"/>
              </w:rPr>
              <w:t>及</w:t>
            </w:r>
            <w:r>
              <w:rPr>
                <w:rFonts w:hint="eastAsia"/>
                <w:highlight w:val="none"/>
              </w:rPr>
              <w:t>维护保养培训、</w:t>
            </w:r>
            <w:r>
              <w:rPr>
                <w:rFonts w:hint="eastAsia"/>
                <w:highlight w:val="none"/>
                <w:lang w:val="en-US" w:eastAsia="zh-CN"/>
              </w:rPr>
              <w:t>b</w:t>
            </w:r>
            <w:r>
              <w:rPr>
                <w:rFonts w:hint="eastAsia"/>
                <w:highlight w:val="none"/>
              </w:rPr>
              <w:t>更新功能使用培训、</w:t>
            </w:r>
            <w:r>
              <w:rPr>
                <w:rFonts w:hint="eastAsia"/>
                <w:highlight w:val="none"/>
                <w:lang w:val="en-US" w:eastAsia="zh-CN"/>
              </w:rPr>
              <w:t>c</w:t>
            </w:r>
            <w:r>
              <w:rPr>
                <w:rFonts w:hint="eastAsia"/>
                <w:highlight w:val="none"/>
              </w:rPr>
              <w:t>培训计划及师资安排等）进行评审：</w:t>
            </w:r>
          </w:p>
          <w:p w14:paraId="59628A03">
            <w:pPr>
              <w:spacing w:line="360" w:lineRule="auto"/>
              <w:jc w:val="left"/>
              <w:rPr>
                <w:rFonts w:hint="eastAsia"/>
                <w:highlight w:val="none"/>
              </w:rPr>
            </w:pPr>
            <w:r>
              <w:rPr>
                <w:rFonts w:hint="eastAsia"/>
                <w:highlight w:val="none"/>
              </w:rPr>
              <w:t>完全涵盖以上</w:t>
            </w:r>
            <w:r>
              <w:rPr>
                <w:rFonts w:hint="eastAsia"/>
                <w:highlight w:val="none"/>
                <w:lang w:val="en-US" w:eastAsia="zh-CN"/>
              </w:rPr>
              <w:t>3</w:t>
            </w:r>
            <w:r>
              <w:rPr>
                <w:rFonts w:hint="eastAsia"/>
                <w:highlight w:val="none"/>
              </w:rPr>
              <w:t>项内容最多得</w:t>
            </w:r>
            <w:r>
              <w:rPr>
                <w:rFonts w:hint="eastAsia"/>
                <w:highlight w:val="none"/>
                <w:lang w:val="en-US" w:eastAsia="zh-CN"/>
              </w:rPr>
              <w:t>3</w:t>
            </w:r>
            <w:r>
              <w:rPr>
                <w:rFonts w:hint="eastAsia"/>
                <w:highlight w:val="none"/>
              </w:rPr>
              <w:t xml:space="preserve">分；包含任意1项最多得1分。 </w:t>
            </w:r>
          </w:p>
          <w:p w14:paraId="3DE3151D">
            <w:pPr>
              <w:spacing w:line="360" w:lineRule="auto"/>
              <w:jc w:val="left"/>
              <w:rPr>
                <w:rFonts w:hint="eastAsia"/>
                <w:highlight w:val="none"/>
              </w:rPr>
            </w:pPr>
            <w:r>
              <w:rPr>
                <w:rFonts w:hint="eastAsia"/>
                <w:highlight w:val="none"/>
              </w:rPr>
              <w:t>注：评标委员会根据各供应商的对应响应方案按照以下量化评审因素指标对各项要求进行满足性判断：</w:t>
            </w:r>
          </w:p>
          <w:p w14:paraId="2F774420">
            <w:pPr>
              <w:spacing w:line="360" w:lineRule="auto"/>
              <w:jc w:val="left"/>
              <w:rPr>
                <w:rFonts w:hint="eastAsia"/>
                <w:highlight w:val="none"/>
              </w:rPr>
            </w:pPr>
            <w:r>
              <w:rPr>
                <w:rFonts w:hint="eastAsia"/>
                <w:highlight w:val="none"/>
              </w:rPr>
              <w:t>1、培训方案完整详尽，专业性、可行性强，考虑周全，思路特别清晰，符合项目需求，得1分；</w:t>
            </w:r>
          </w:p>
          <w:p w14:paraId="77D80548">
            <w:pPr>
              <w:spacing w:line="360" w:lineRule="auto"/>
              <w:jc w:val="left"/>
              <w:rPr>
                <w:rFonts w:hint="eastAsia"/>
                <w:highlight w:val="none"/>
              </w:rPr>
            </w:pPr>
            <w:r>
              <w:rPr>
                <w:rFonts w:hint="eastAsia"/>
                <w:highlight w:val="none"/>
              </w:rPr>
              <w:t>2、对项目执行有一定认识，方案较为完整，思路基本清晰，基本符合项目需求，该项得0.5分；</w:t>
            </w:r>
          </w:p>
          <w:p w14:paraId="56D088EE">
            <w:pPr>
              <w:spacing w:line="360" w:lineRule="auto"/>
              <w:jc w:val="left"/>
              <w:rPr>
                <w:rFonts w:hint="eastAsia"/>
                <w:highlight w:val="none"/>
              </w:rPr>
            </w:pPr>
            <w:r>
              <w:rPr>
                <w:rFonts w:hint="eastAsia"/>
                <w:highlight w:val="none"/>
              </w:rPr>
              <w:t>3、未提供或者经评标委员会认定完全不具备可行性的不得分。</w:t>
            </w:r>
          </w:p>
          <w:p w14:paraId="5A3190E7">
            <w:pPr>
              <w:spacing w:line="360" w:lineRule="auto"/>
              <w:jc w:val="left"/>
              <w:rPr>
                <w:rFonts w:hint="eastAsia"/>
                <w:highlight w:val="none"/>
              </w:rPr>
            </w:pPr>
            <w:r>
              <w:rPr>
                <w:rFonts w:hint="eastAsia"/>
                <w:highlight w:val="none"/>
                <w:lang w:eastAsia="zh-CN"/>
              </w:rPr>
              <w:t>（</w:t>
            </w:r>
            <w:r>
              <w:rPr>
                <w:rFonts w:hint="eastAsia"/>
                <w:highlight w:val="none"/>
                <w:lang w:val="en-US" w:eastAsia="zh-CN"/>
              </w:rPr>
              <w:t>四</w:t>
            </w:r>
            <w:r>
              <w:rPr>
                <w:rFonts w:hint="eastAsia"/>
                <w:highlight w:val="none"/>
                <w:lang w:eastAsia="zh-CN"/>
              </w:rPr>
              <w:t>）</w:t>
            </w:r>
            <w:r>
              <w:rPr>
                <w:rFonts w:hint="eastAsia"/>
                <w:highlight w:val="none"/>
              </w:rPr>
              <w:t>售后服务方案（</w:t>
            </w:r>
            <w:r>
              <w:rPr>
                <w:rFonts w:hint="eastAsia"/>
                <w:highlight w:val="none"/>
                <w:lang w:val="en-US" w:eastAsia="zh-CN"/>
              </w:rPr>
              <w:t>6</w:t>
            </w:r>
            <w:r>
              <w:rPr>
                <w:rFonts w:hint="eastAsia"/>
                <w:highlight w:val="none"/>
              </w:rPr>
              <w:t>分）</w:t>
            </w:r>
          </w:p>
          <w:p w14:paraId="5CD940F6">
            <w:pPr>
              <w:spacing w:line="360" w:lineRule="auto"/>
              <w:ind w:firstLine="420" w:firstLineChars="200"/>
              <w:jc w:val="left"/>
              <w:rPr>
                <w:rFonts w:hint="eastAsia"/>
                <w:highlight w:val="none"/>
              </w:rPr>
            </w:pPr>
            <w:r>
              <w:rPr>
                <w:rFonts w:hint="eastAsia"/>
                <w:highlight w:val="none"/>
              </w:rPr>
              <w:t>根据各投标人针对本项目拟定的售后服务方案（包括但不限于a维修响应时间及方式、b应急维修应对措施、c日常维护、巡检、保养方案、d零配件和维修备品备件的供应保障措施、e技术服务人员及场地配置情况、f质保期内的后续技术支持和软件迭代方案）进行评审：</w:t>
            </w:r>
          </w:p>
          <w:p w14:paraId="799C97C2">
            <w:pPr>
              <w:spacing w:line="360" w:lineRule="auto"/>
              <w:jc w:val="left"/>
              <w:rPr>
                <w:rFonts w:hint="eastAsia"/>
                <w:highlight w:val="none"/>
              </w:rPr>
            </w:pPr>
            <w:r>
              <w:rPr>
                <w:rFonts w:hint="eastAsia"/>
                <w:highlight w:val="none"/>
              </w:rPr>
              <w:t>完全涵盖以上</w:t>
            </w:r>
            <w:r>
              <w:rPr>
                <w:rFonts w:hint="eastAsia"/>
                <w:highlight w:val="none"/>
                <w:lang w:val="en-US" w:eastAsia="zh-CN"/>
              </w:rPr>
              <w:t>6</w:t>
            </w:r>
            <w:r>
              <w:rPr>
                <w:rFonts w:hint="eastAsia"/>
                <w:highlight w:val="none"/>
              </w:rPr>
              <w:t>项内容最多得</w:t>
            </w:r>
            <w:r>
              <w:rPr>
                <w:rFonts w:hint="eastAsia"/>
                <w:highlight w:val="none"/>
                <w:lang w:val="en-US" w:eastAsia="zh-CN"/>
              </w:rPr>
              <w:t>6</w:t>
            </w:r>
            <w:r>
              <w:rPr>
                <w:rFonts w:hint="eastAsia"/>
                <w:highlight w:val="none"/>
              </w:rPr>
              <w:t xml:space="preserve">分；包含任意1项最多得1分。 </w:t>
            </w:r>
          </w:p>
          <w:p w14:paraId="65FB032A">
            <w:pPr>
              <w:spacing w:line="360" w:lineRule="auto"/>
              <w:jc w:val="left"/>
              <w:rPr>
                <w:rFonts w:hint="eastAsia"/>
                <w:highlight w:val="none"/>
              </w:rPr>
            </w:pPr>
            <w:r>
              <w:rPr>
                <w:rFonts w:hint="eastAsia"/>
                <w:highlight w:val="none"/>
              </w:rPr>
              <w:t>注：评标委员会根据各供应商的对应响应方案按照以下量化评审因素指标对各项要求进行满足性判断：</w:t>
            </w:r>
          </w:p>
          <w:p w14:paraId="7D187EB6">
            <w:pPr>
              <w:spacing w:line="360" w:lineRule="auto"/>
              <w:jc w:val="left"/>
              <w:rPr>
                <w:rFonts w:hint="eastAsia"/>
                <w:highlight w:val="none"/>
              </w:rPr>
            </w:pPr>
            <w:r>
              <w:rPr>
                <w:rFonts w:hint="eastAsia"/>
                <w:highlight w:val="none"/>
              </w:rPr>
              <w:t>1、售后方案完整详尽，专业性、可行性强，考虑周全，思路特别清晰，符合项目需求，得1分；</w:t>
            </w:r>
          </w:p>
          <w:p w14:paraId="57CE2394">
            <w:pPr>
              <w:spacing w:line="360" w:lineRule="auto"/>
              <w:jc w:val="left"/>
              <w:rPr>
                <w:rFonts w:hint="eastAsia"/>
                <w:highlight w:val="none"/>
              </w:rPr>
            </w:pPr>
            <w:r>
              <w:rPr>
                <w:rFonts w:hint="eastAsia"/>
                <w:highlight w:val="none"/>
              </w:rPr>
              <w:t>2、对项目执行有一定认识，方案较为完整，思路基本清晰，基本符合项目需求，该项得0.5分；</w:t>
            </w:r>
          </w:p>
          <w:p w14:paraId="593BB4BB">
            <w:pPr>
              <w:spacing w:line="360" w:lineRule="auto"/>
              <w:jc w:val="left"/>
              <w:rPr>
                <w:rFonts w:hint="eastAsia" w:hAnsi="宋体" w:cs="宋体"/>
                <w:b/>
                <w:color w:val="000000"/>
                <w:highlight w:val="none"/>
              </w:rPr>
            </w:pPr>
            <w:r>
              <w:rPr>
                <w:rFonts w:hint="eastAsia"/>
                <w:highlight w:val="none"/>
              </w:rPr>
              <w:t>3、未提供或者经评标委员会认定完全不具备可行性的不得分。</w:t>
            </w:r>
          </w:p>
        </w:tc>
      </w:tr>
      <w:tr w14:paraId="7A3B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273" w:type="dxa"/>
            <w:noWrap w:val="0"/>
            <w:vAlign w:val="center"/>
          </w:tcPr>
          <w:p w14:paraId="22604742">
            <w:pPr>
              <w:spacing w:line="360" w:lineRule="auto"/>
              <w:jc w:val="center"/>
              <w:rPr>
                <w:rFonts w:hint="eastAsia" w:hAnsi="宋体" w:cs="宋体"/>
                <w:bCs/>
                <w:color w:val="000000"/>
                <w:highlight w:val="none"/>
              </w:rPr>
            </w:pPr>
            <w:r>
              <w:rPr>
                <w:rFonts w:hint="eastAsia" w:hAnsi="宋体" w:cs="宋体"/>
                <w:bCs/>
                <w:color w:val="000000"/>
                <w:highlight w:val="none"/>
              </w:rPr>
              <w:t>所投产品的业绩</w:t>
            </w:r>
          </w:p>
          <w:p w14:paraId="36FB4CB6">
            <w:pPr>
              <w:spacing w:line="360" w:lineRule="auto"/>
              <w:jc w:val="center"/>
              <w:rPr>
                <w:rFonts w:hint="eastAsia" w:hAnsi="宋体" w:cs="宋体"/>
                <w:bCs/>
                <w:color w:val="000000"/>
                <w:highlight w:val="none"/>
              </w:rPr>
            </w:pPr>
            <w:r>
              <w:rPr>
                <w:rFonts w:hint="eastAsia" w:hAnsi="宋体" w:cs="宋体"/>
                <w:bCs/>
                <w:color w:val="000000"/>
                <w:highlight w:val="none"/>
              </w:rPr>
              <w:t>（</w:t>
            </w:r>
            <w:r>
              <w:rPr>
                <w:rFonts w:hint="eastAsia" w:hAnsi="宋体" w:cs="宋体"/>
                <w:bCs/>
                <w:color w:val="000000"/>
                <w:highlight w:val="none"/>
                <w:lang w:val="en-US" w:eastAsia="zh-CN"/>
              </w:rPr>
              <w:t>5</w:t>
            </w:r>
            <w:r>
              <w:rPr>
                <w:rFonts w:hint="eastAsia" w:hAnsi="宋体" w:cs="宋体"/>
                <w:bCs/>
                <w:color w:val="000000"/>
                <w:highlight w:val="none"/>
              </w:rPr>
              <w:t>分）</w:t>
            </w:r>
          </w:p>
        </w:tc>
        <w:tc>
          <w:tcPr>
            <w:tcW w:w="7922" w:type="dxa"/>
            <w:noWrap w:val="0"/>
            <w:vAlign w:val="center"/>
          </w:tcPr>
          <w:p w14:paraId="26A19CE4">
            <w:pPr>
              <w:spacing w:line="360" w:lineRule="auto"/>
              <w:jc w:val="left"/>
              <w:rPr>
                <w:rFonts w:hint="eastAsia" w:hAnsi="宋体" w:cs="宋体"/>
                <w:color w:val="000000"/>
                <w:highlight w:val="none"/>
              </w:rPr>
            </w:pPr>
            <w:r>
              <w:rPr>
                <w:rFonts w:hint="eastAsia" w:hAnsi="宋体" w:cs="宋体"/>
                <w:color w:val="000000"/>
                <w:highlight w:val="none"/>
              </w:rPr>
              <w:t>提供自2022年1月1日至今与本次所投产品同型号的设备案例，每提供一份得</w:t>
            </w:r>
            <w:r>
              <w:rPr>
                <w:rFonts w:hint="eastAsia" w:hAnsi="宋体" w:cs="宋体"/>
                <w:color w:val="000000"/>
                <w:highlight w:val="none"/>
                <w:lang w:val="en-US" w:eastAsia="zh-CN"/>
              </w:rPr>
              <w:t>1</w:t>
            </w:r>
            <w:r>
              <w:rPr>
                <w:rFonts w:hint="eastAsia" w:hAnsi="宋体" w:cs="宋体"/>
                <w:color w:val="000000"/>
                <w:highlight w:val="none"/>
              </w:rPr>
              <w:t>分，本项最高得</w:t>
            </w:r>
            <w:r>
              <w:rPr>
                <w:rFonts w:hint="eastAsia" w:hAnsi="宋体" w:cs="宋体"/>
                <w:color w:val="000000"/>
                <w:highlight w:val="none"/>
                <w:lang w:val="en-US" w:eastAsia="zh-CN"/>
              </w:rPr>
              <w:t>5</w:t>
            </w:r>
            <w:r>
              <w:rPr>
                <w:rFonts w:hint="eastAsia" w:hAnsi="宋体" w:cs="宋体"/>
                <w:color w:val="000000"/>
                <w:highlight w:val="none"/>
              </w:rPr>
              <w:t>分。</w:t>
            </w:r>
          </w:p>
          <w:p w14:paraId="7B497160">
            <w:pPr>
              <w:spacing w:line="360" w:lineRule="auto"/>
              <w:jc w:val="left"/>
              <w:rPr>
                <w:rFonts w:hint="eastAsia" w:hAnsi="宋体" w:cs="宋体"/>
                <w:color w:val="000000"/>
                <w:highlight w:val="none"/>
              </w:rPr>
            </w:pPr>
            <w:r>
              <w:rPr>
                <w:rFonts w:hint="eastAsia" w:hAnsi="宋体" w:cs="宋体"/>
                <w:color w:val="000000"/>
                <w:highlight w:val="none"/>
              </w:rPr>
              <w:t>注：</w:t>
            </w:r>
            <w:r>
              <w:rPr>
                <w:rFonts w:hint="eastAsia" w:hAnsi="宋体" w:cs="宋体"/>
                <w:color w:val="000000"/>
                <w:highlight w:val="none"/>
                <w:lang w:val="en-US" w:eastAsia="zh-CN"/>
              </w:rPr>
              <w:t>须同时</w:t>
            </w:r>
            <w:r>
              <w:rPr>
                <w:rFonts w:hint="eastAsia" w:hAnsi="宋体" w:cs="宋体"/>
                <w:color w:val="000000"/>
                <w:highlight w:val="none"/>
              </w:rPr>
              <w:t>提供发票</w:t>
            </w:r>
            <w:r>
              <w:rPr>
                <w:rFonts w:hint="eastAsia" w:hAnsi="宋体" w:cs="宋体"/>
                <w:color w:val="000000"/>
                <w:highlight w:val="none"/>
                <w:lang w:eastAsia="zh-CN"/>
              </w:rPr>
              <w:t>、</w:t>
            </w:r>
            <w:r>
              <w:rPr>
                <w:rFonts w:hint="eastAsia" w:hAnsi="宋体" w:cs="宋体"/>
                <w:color w:val="000000"/>
                <w:highlight w:val="none"/>
              </w:rPr>
              <w:t>中标</w:t>
            </w:r>
            <w:r>
              <w:rPr>
                <w:rFonts w:hint="eastAsia" w:hAnsi="宋体" w:cs="宋体"/>
                <w:color w:val="000000"/>
                <w:highlight w:val="none"/>
                <w:lang w:eastAsia="zh-CN"/>
              </w:rPr>
              <w:t>（</w:t>
            </w:r>
            <w:r>
              <w:rPr>
                <w:rFonts w:hint="eastAsia" w:hAnsi="宋体" w:cs="宋体"/>
                <w:color w:val="000000"/>
                <w:highlight w:val="none"/>
                <w:lang w:val="en-US" w:eastAsia="zh-CN"/>
              </w:rPr>
              <w:t>成交</w:t>
            </w:r>
            <w:r>
              <w:rPr>
                <w:rFonts w:hint="eastAsia" w:hAnsi="宋体" w:cs="宋体"/>
                <w:color w:val="000000"/>
                <w:highlight w:val="none"/>
                <w:lang w:eastAsia="zh-CN"/>
              </w:rPr>
              <w:t>）</w:t>
            </w:r>
            <w:r>
              <w:rPr>
                <w:rFonts w:hint="eastAsia" w:hAnsi="宋体" w:cs="宋体"/>
                <w:color w:val="000000"/>
                <w:highlight w:val="none"/>
              </w:rPr>
              <w:t>公告</w:t>
            </w:r>
            <w:r>
              <w:rPr>
                <w:rFonts w:hint="eastAsia" w:hAnsi="宋体" w:cs="宋体"/>
                <w:color w:val="000000"/>
                <w:highlight w:val="none"/>
                <w:lang w:val="en-US" w:eastAsia="zh-CN"/>
              </w:rPr>
              <w:t>及中标（成交）</w:t>
            </w:r>
            <w:r>
              <w:rPr>
                <w:rFonts w:hint="eastAsia" w:hAnsi="宋体" w:cs="宋体"/>
                <w:color w:val="000000"/>
                <w:highlight w:val="none"/>
              </w:rPr>
              <w:t>通知书</w:t>
            </w:r>
            <w:r>
              <w:rPr>
                <w:rFonts w:hint="eastAsia" w:hAnsi="宋体" w:cs="宋体"/>
                <w:color w:val="000000"/>
                <w:highlight w:val="none"/>
                <w:lang w:eastAsia="zh-CN"/>
              </w:rPr>
              <w:t>，</w:t>
            </w:r>
            <w:r>
              <w:rPr>
                <w:rFonts w:hint="eastAsia" w:hAnsi="宋体" w:cs="宋体"/>
                <w:color w:val="000000"/>
                <w:highlight w:val="none"/>
                <w:lang w:val="en-US" w:eastAsia="zh-CN"/>
              </w:rPr>
              <w:t>如上述材料中不能体现设备型号的，还须同时提供合同扫描件或采购方出具的证明材料</w:t>
            </w:r>
            <w:r>
              <w:rPr>
                <w:rFonts w:hint="eastAsia" w:hAnsi="宋体" w:cs="宋体"/>
                <w:color w:val="000000"/>
                <w:highlight w:val="none"/>
              </w:rPr>
              <w:t>。未提供</w:t>
            </w:r>
            <w:r>
              <w:rPr>
                <w:rFonts w:hint="eastAsia" w:hAnsi="宋体" w:cs="宋体"/>
                <w:color w:val="000000"/>
                <w:highlight w:val="none"/>
                <w:lang w:val="en-US" w:eastAsia="zh-CN"/>
              </w:rPr>
              <w:t>证明材料</w:t>
            </w:r>
            <w:r>
              <w:rPr>
                <w:rFonts w:hint="eastAsia" w:hAnsi="宋体" w:cs="宋体"/>
                <w:color w:val="000000"/>
                <w:highlight w:val="none"/>
              </w:rPr>
              <w:t>或提供</w:t>
            </w:r>
            <w:r>
              <w:rPr>
                <w:rFonts w:hint="eastAsia" w:hAnsi="宋体" w:cs="宋体"/>
                <w:color w:val="000000"/>
                <w:highlight w:val="none"/>
                <w:lang w:val="en-US" w:eastAsia="zh-CN"/>
              </w:rPr>
              <w:t>证明材料</w:t>
            </w:r>
            <w:r>
              <w:rPr>
                <w:rFonts w:hint="eastAsia" w:hAnsi="宋体" w:cs="宋体"/>
                <w:color w:val="000000"/>
                <w:highlight w:val="none"/>
              </w:rPr>
              <w:t>信息不全，或所提供合同产品品牌型号与本次投标产品不符的不得分。</w:t>
            </w:r>
          </w:p>
        </w:tc>
      </w:tr>
    </w:tbl>
    <w:p w14:paraId="1B2CB57A">
      <w:pPr>
        <w:pStyle w:val="3"/>
        <w:numPr>
          <w:ilvl w:val="0"/>
          <w:numId w:val="0"/>
        </w:numPr>
        <w:tabs>
          <w:tab w:val="left" w:pos="1204"/>
        </w:tabs>
        <w:ind w:firstLine="482" w:firstLineChars="200"/>
        <w:rPr>
          <w:b/>
          <w:color w:val="000000" w:themeColor="text1"/>
          <w:highlight w:val="none"/>
          <w14:textFill>
            <w14:solidFill>
              <w14:schemeClr w14:val="tx1"/>
            </w14:solidFill>
          </w14:textFill>
        </w:rPr>
      </w:pPr>
    </w:p>
    <w:p w14:paraId="06E0A8E5">
      <w:pPr>
        <w:pStyle w:val="3"/>
        <w:numPr>
          <w:ilvl w:val="0"/>
          <w:numId w:val="49"/>
        </w:numPr>
        <w:tabs>
          <w:tab w:val="left" w:pos="1204"/>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价格分：</w:t>
      </w:r>
      <w:r>
        <w:rPr>
          <w:rFonts w:hint="eastAsia"/>
          <w:b/>
          <w:color w:val="000000" w:themeColor="text1"/>
          <w:highlight w:val="none"/>
          <w:lang w:val="en-US" w:eastAsia="zh-CN"/>
          <w14:textFill>
            <w14:solidFill>
              <w14:schemeClr w14:val="tx1"/>
            </w14:solidFill>
          </w14:textFill>
        </w:rPr>
        <w:t>3</w:t>
      </w:r>
      <w:r>
        <w:rPr>
          <w:b/>
          <w:color w:val="000000" w:themeColor="text1"/>
          <w:highlight w:val="none"/>
          <w14:textFill>
            <w14:solidFill>
              <w14:schemeClr w14:val="tx1"/>
            </w14:solidFill>
          </w14:textFill>
        </w:rPr>
        <w:t>0分</w:t>
      </w:r>
    </w:p>
    <w:p w14:paraId="7EC3297F">
      <w:pPr>
        <w:pStyle w:val="3"/>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4.1价格分统一采用低价优先法计算，即满足招标文件要求且投标价格最低的投标报价为评标基准价，其价格分为满分。其他投标人的价格分统一按照下列公式计算：</w:t>
      </w:r>
    </w:p>
    <w:p w14:paraId="7363E013">
      <w:pPr>
        <w:pStyle w:val="3"/>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投标报价得分=（评标基准价/投标报价）×价格权值×100</w:t>
      </w:r>
    </w:p>
    <w:p w14:paraId="2FBA960A">
      <w:pPr>
        <w:pStyle w:val="3"/>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4.2评审过程中出现下列情形之一的，评审委员会应当启动异常低价投标（响应）审查程序：</w:t>
      </w:r>
    </w:p>
    <w:p w14:paraId="1421B113">
      <w:pPr>
        <w:pStyle w:val="3"/>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（1）投标（响应）报价低于采购项目预算50%的，即投标（响应）报价&lt;采购项目预算×50%；</w:t>
      </w:r>
    </w:p>
    <w:p w14:paraId="071920AB">
      <w:pPr>
        <w:pStyle w:val="3"/>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（2）投标（响应）报价低于采购项目最高限价45%的，即投标（响应）报价&lt;采购项目最高限价×45%；</w:t>
      </w:r>
    </w:p>
    <w:p w14:paraId="04D2A6ED">
      <w:pPr>
        <w:pStyle w:val="3"/>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（3）评审委员会认定的供应商报价过低、有可能影响产品质量或者不能诚信履约的其他情形。</w:t>
      </w:r>
    </w:p>
    <w:p w14:paraId="65AEAAD9">
      <w:pPr>
        <w:pStyle w:val="3"/>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12D49CD">
      <w:pPr>
        <w:pStyle w:val="3"/>
        <w:numPr>
          <w:ilvl w:val="0"/>
          <w:numId w:val="49"/>
        </w:numPr>
        <w:tabs>
          <w:tab w:val="left" w:pos="1204"/>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政府采购政策功能落实</w:t>
      </w:r>
    </w:p>
    <w:p w14:paraId="6107EF3E">
      <w:pPr>
        <w:tabs>
          <w:tab w:val="left" w:pos="8200"/>
        </w:tabs>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本项目属于</w:t>
      </w:r>
      <w:r>
        <w:rPr>
          <w:rFonts w:hint="eastAsia" w:ascii="宋体" w:hAnsi="宋体" w:cs="宋体"/>
          <w:color w:val="000000" w:themeColor="text1"/>
          <w:sz w:val="24"/>
          <w:highlight w:val="none"/>
          <w:u w:val="single"/>
          <w:lang w:val="en-US" w:eastAsia="zh-CN"/>
          <w14:textFill>
            <w14:solidFill>
              <w14:schemeClr w14:val="tx1"/>
            </w14:solidFill>
          </w14:textFill>
        </w:rPr>
        <w:t>货物类</w:t>
      </w:r>
      <w:r>
        <w:rPr>
          <w:rFonts w:hint="eastAsia" w:ascii="宋体" w:hAnsi="宋体" w:cs="宋体"/>
          <w:color w:val="000000" w:themeColor="text1"/>
          <w:sz w:val="24"/>
          <w:highlight w:val="none"/>
          <w14:textFill>
            <w14:solidFill>
              <w14:schemeClr w14:val="tx1"/>
            </w14:solidFill>
          </w14:textFill>
        </w:rPr>
        <w:t>采购，采购标的对应的行业主要为</w:t>
      </w:r>
      <w:r>
        <w:rPr>
          <w:rFonts w:hint="eastAsia" w:ascii="宋体" w:hAnsi="宋体" w:cs="宋体"/>
          <w:color w:val="000000" w:themeColor="text1"/>
          <w:sz w:val="24"/>
          <w:highlight w:val="none"/>
          <w:u w:val="single"/>
          <w:lang w:val="en-US" w:eastAsia="zh-CN"/>
          <w14:textFill>
            <w14:solidFill>
              <w14:schemeClr w14:val="tx1"/>
            </w14:solidFill>
          </w14:textFill>
        </w:rPr>
        <w:t>工业</w:t>
      </w:r>
      <w:r>
        <w:rPr>
          <w:rFonts w:hint="eastAsia" w:ascii="宋体" w:hAnsi="宋体" w:cs="宋体"/>
          <w:color w:val="000000" w:themeColor="text1"/>
          <w:sz w:val="24"/>
          <w:highlight w:val="none"/>
          <w14:textFill>
            <w14:solidFill>
              <w14:schemeClr w14:val="tx1"/>
            </w14:solidFill>
          </w14:textFill>
        </w:rPr>
        <w:t>。本项目为非专门面向中小</w:t>
      </w:r>
      <w:r>
        <w:rPr>
          <w:rFonts w:hint="eastAsia" w:ascii="宋体" w:hAnsi="宋体" w:cs="宋体"/>
          <w:bCs/>
          <w:color w:val="000000" w:themeColor="text1"/>
          <w:sz w:val="24"/>
          <w:highlight w:val="none"/>
          <w14:textFill>
            <w14:solidFill>
              <w14:schemeClr w14:val="tx1"/>
            </w14:solidFill>
          </w14:textFill>
        </w:rPr>
        <w:t>微企业的项目，对</w:t>
      </w:r>
      <w:r>
        <w:rPr>
          <w:rFonts w:hint="eastAsia" w:ascii="宋体" w:hAnsi="宋体" w:cs="宋体"/>
          <w:color w:val="000000" w:themeColor="text1"/>
          <w:sz w:val="24"/>
          <w:highlight w:val="none"/>
          <w14:textFill>
            <w14:solidFill>
              <w14:schemeClr w14:val="tx1"/>
            </w14:solidFill>
          </w14:textFill>
        </w:rPr>
        <w:t>小型和微型企业</w:t>
      </w:r>
      <w:r>
        <w:rPr>
          <w:rFonts w:hint="eastAsia" w:ascii="宋体" w:hAnsi="宋体" w:cs="宋体"/>
          <w:bCs/>
          <w:color w:val="000000" w:themeColor="text1"/>
          <w:sz w:val="24"/>
          <w:highlight w:val="none"/>
          <w14:textFill>
            <w14:solidFill>
              <w14:schemeClr w14:val="tx1"/>
            </w14:solidFill>
          </w14:textFill>
        </w:rPr>
        <w:t>产品价格给予10%的扣除，用扣除后的价格参与评审。[投标人须提供中小企业声明函方可享受价格折扣优惠政策，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350458B2">
      <w:pPr>
        <w:tabs>
          <w:tab w:val="left" w:pos="8200"/>
        </w:tabs>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在政府采购活动中，供应商提供的货物、工程或者服务符合下列情形的，享受价格扣除：</w:t>
      </w:r>
    </w:p>
    <w:p w14:paraId="2763ADEA">
      <w:pPr>
        <w:numPr>
          <w:ilvl w:val="0"/>
          <w:numId w:val="50"/>
        </w:numPr>
        <w:tabs>
          <w:tab w:val="left" w:pos="8200"/>
        </w:tabs>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在货物采购项目中，货物由小微企业制造，即货物由小微企业生产且使用该小微企业商号或者注册商标；</w:t>
      </w:r>
    </w:p>
    <w:p w14:paraId="21AA39EE">
      <w:pPr>
        <w:numPr>
          <w:ilvl w:val="0"/>
          <w:numId w:val="50"/>
        </w:numPr>
        <w:tabs>
          <w:tab w:val="left" w:pos="8200"/>
        </w:tabs>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在服务采购项目中，服务由小微企业承接，即提供服务的人员为小微企业依照《中华人民共和国劳动合同法》订立劳动合同的从业人员。</w:t>
      </w:r>
    </w:p>
    <w:p w14:paraId="05EAB39B">
      <w:pPr>
        <w:tabs>
          <w:tab w:val="left" w:pos="8200"/>
        </w:tabs>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3C1659ED">
      <w:pPr>
        <w:tabs>
          <w:tab w:val="left" w:pos="8200"/>
        </w:tabs>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7EFC2FFB">
      <w:pPr>
        <w:tabs>
          <w:tab w:val="left" w:pos="8200"/>
        </w:tabs>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F9D7098">
      <w:pPr>
        <w:tabs>
          <w:tab w:val="left" w:pos="8200"/>
        </w:tabs>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④残疾人福利单位、监狱企业属于小型、微型企业的，不重复享受政策。</w:t>
      </w:r>
    </w:p>
    <w:p w14:paraId="6F3822EF">
      <w:pPr>
        <w:pStyle w:val="3"/>
        <w:numPr>
          <w:ilvl w:val="0"/>
          <w:numId w:val="49"/>
        </w:numPr>
        <w:tabs>
          <w:tab w:val="left" w:pos="1204"/>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中标人的确定</w:t>
      </w:r>
    </w:p>
    <w:p w14:paraId="782856F6">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评委会汇总各评委评分后，按照得分从高到低的顺序推荐</w:t>
      </w:r>
      <w:r>
        <w:rPr>
          <w:rFonts w:hint="eastAsia"/>
          <w:color w:val="000000" w:themeColor="text1"/>
          <w:highlight w:val="none"/>
          <w:lang w:val="en-US" w:eastAsia="zh-CN"/>
          <w14:textFill>
            <w14:solidFill>
              <w14:schemeClr w14:val="tx1"/>
            </w14:solidFill>
          </w14:textFill>
        </w:rPr>
        <w:t>一</w:t>
      </w:r>
      <w:r>
        <w:rPr>
          <w:color w:val="000000" w:themeColor="text1"/>
          <w:highlight w:val="none"/>
          <w14:textFill>
            <w14:solidFill>
              <w14:schemeClr w14:val="tx1"/>
            </w14:solidFill>
          </w14:textFill>
        </w:rPr>
        <w:t>名中标候选人，并编写评标报告。</w:t>
      </w:r>
    </w:p>
    <w:p w14:paraId="5F17FCDC">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采购人应根据评标委员会推荐的中标候选人确定中标人。</w:t>
      </w:r>
    </w:p>
    <w:p w14:paraId="0F7F52D0">
      <w:pPr>
        <w:pStyle w:val="3"/>
        <w:numPr>
          <w:ilvl w:val="0"/>
          <w:numId w:val="49"/>
        </w:numPr>
        <w:tabs>
          <w:tab w:val="left" w:pos="1204"/>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采购人代表宣布评标结果</w:t>
      </w:r>
    </w:p>
    <w:p w14:paraId="0640AE60">
      <w:pPr>
        <w:pStyle w:val="3"/>
        <w:numPr>
          <w:ilvl w:val="0"/>
          <w:numId w:val="49"/>
        </w:numPr>
        <w:tabs>
          <w:tab w:val="left" w:pos="1204"/>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公告中标结果</w:t>
      </w:r>
    </w:p>
    <w:p w14:paraId="6DBE8BD2">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自确定中标人之日起2个工作日内，在江苏政府采购网公告中标结果，公告期限为1个工作日。</w:t>
      </w:r>
    </w:p>
    <w:p w14:paraId="0289A1D2">
      <w:pPr>
        <w:pStyle w:val="3"/>
        <w:numPr>
          <w:ilvl w:val="0"/>
          <w:numId w:val="49"/>
        </w:numPr>
        <w:tabs>
          <w:tab w:val="left" w:pos="1204"/>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发放中标通知书</w:t>
      </w:r>
    </w:p>
    <w:p w14:paraId="5250C0C5">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公告中标结果的同时，采购代理机构向中标供应商发放中标通知书。中标通知书发出后，采购人不得违法改变中标结果，中标人无正当理由不得放弃中标。</w:t>
      </w:r>
    </w:p>
    <w:p w14:paraId="07695913">
      <w:pPr>
        <w:rPr>
          <w:color w:val="000000" w:themeColor="text1"/>
          <w:sz w:val="24"/>
          <w:szCs w:val="32"/>
          <w:highlight w:val="none"/>
          <w14:textFill>
            <w14:solidFill>
              <w14:schemeClr w14:val="tx1"/>
            </w14:solidFill>
          </w14:textFill>
        </w:rPr>
      </w:pPr>
      <w:r>
        <w:rPr>
          <w:b/>
          <w:color w:val="000000" w:themeColor="text1"/>
          <w:sz w:val="24"/>
          <w:szCs w:val="32"/>
          <w:highlight w:val="none"/>
          <w14:textFill>
            <w14:solidFill>
              <w14:schemeClr w14:val="tx1"/>
            </w14:solidFill>
          </w14:textFill>
        </w:rPr>
        <w:t>中标人须在领取中标通知书前提供叁份纸质版投标文件正本至采购代理机构。</w:t>
      </w:r>
      <w:r>
        <w:rPr>
          <w:color w:val="000000" w:themeColor="text1"/>
          <w:sz w:val="24"/>
          <w:szCs w:val="32"/>
          <w:highlight w:val="none"/>
          <w14:textFill>
            <w14:solidFill>
              <w14:schemeClr w14:val="tx1"/>
            </w14:solidFill>
          </w14:textFill>
        </w:rPr>
        <w:br w:type="page" w:clear="all"/>
      </w:r>
    </w:p>
    <w:p w14:paraId="001B31FD">
      <w:pPr>
        <w:pStyle w:val="3"/>
        <w:ind w:left="0" w:leftChars="0" w:firstLine="0" w:firstLineChars="0"/>
        <w:jc w:val="center"/>
        <w:rPr>
          <w:color w:val="000000" w:themeColor="text1"/>
          <w:highlight w:val="none"/>
          <w14:textFill>
            <w14:solidFill>
              <w14:schemeClr w14:val="tx1"/>
            </w14:solidFill>
          </w14:textFill>
        </w:rPr>
      </w:pPr>
      <w:r>
        <w:rPr>
          <w:rFonts w:hint="default" w:ascii="Times New Roman" w:hAnsi="Times New Roman" w:eastAsia="黑体" w:cs="Times New Roman"/>
          <w:color w:val="000000" w:themeColor="text1"/>
          <w:sz w:val="32"/>
          <w:szCs w:val="36"/>
          <w:highlight w:val="none"/>
          <w14:textFill>
            <w14:solidFill>
              <w14:schemeClr w14:val="tx1"/>
            </w14:solidFill>
          </w14:textFill>
        </w:rPr>
        <w:t>第五部分  合同格式</w:t>
      </w:r>
    </w:p>
    <w:p w14:paraId="414FFA13">
      <w:pPr>
        <w:pStyle w:val="3"/>
        <w:ind w:firstLine="480"/>
        <w:rPr>
          <w:color w:val="000000" w:themeColor="text1"/>
          <w:highlight w:val="none"/>
          <w14:textFill>
            <w14:solidFill>
              <w14:schemeClr w14:val="tx1"/>
            </w14:solidFill>
          </w14:textFill>
        </w:rPr>
      </w:pPr>
      <w:bookmarkStart w:id="117" w:name="_Toc20823315"/>
      <w:bookmarkStart w:id="118" w:name="_Toc513029243"/>
      <w:bookmarkStart w:id="119" w:name="_Toc16938559"/>
      <w:r>
        <w:rPr>
          <w:color w:val="000000" w:themeColor="text1"/>
          <w:highlight w:val="none"/>
          <w14:textFill>
            <w14:solidFill>
              <w14:schemeClr w14:val="tx1"/>
            </w14:solidFill>
          </w14:textFill>
        </w:rPr>
        <w:t>以下</w:t>
      </w:r>
      <w:r>
        <w:rPr>
          <w:rFonts w:hint="eastAsia"/>
          <w:color w:val="000000" w:themeColor="text1"/>
          <w:highlight w:val="none"/>
          <w14:textFill>
            <w14:solidFill>
              <w14:schemeClr w14:val="tx1"/>
            </w14:solidFill>
          </w14:textFill>
        </w:rPr>
        <w:t>合同模板为采购人采购合同模板，</w:t>
      </w:r>
      <w:r>
        <w:rPr>
          <w:color w:val="000000" w:themeColor="text1"/>
          <w:highlight w:val="none"/>
          <w14:textFill>
            <w14:solidFill>
              <w14:schemeClr w14:val="tx1"/>
            </w14:solidFill>
          </w14:textFill>
        </w:rPr>
        <w:t>为</w:t>
      </w:r>
      <w:r>
        <w:rPr>
          <w:rFonts w:hint="eastAsia"/>
          <w:color w:val="000000" w:themeColor="text1"/>
          <w:highlight w:val="none"/>
          <w14:textFill>
            <w14:solidFill>
              <w14:schemeClr w14:val="tx1"/>
            </w14:solidFill>
          </w14:textFill>
        </w:rPr>
        <w:t>中标</w:t>
      </w:r>
      <w:r>
        <w:rPr>
          <w:color w:val="000000" w:themeColor="text1"/>
          <w:highlight w:val="none"/>
          <w14:textFill>
            <w14:solidFill>
              <w14:schemeClr w14:val="tx1"/>
            </w14:solidFill>
          </w14:textFill>
        </w:rPr>
        <w:t>后签订本项目合同的</w:t>
      </w:r>
      <w:r>
        <w:rPr>
          <w:rFonts w:hint="eastAsia"/>
          <w:color w:val="000000" w:themeColor="text1"/>
          <w:highlight w:val="none"/>
          <w14:textFill>
            <w14:solidFill>
              <w14:schemeClr w14:val="tx1"/>
            </w14:solidFill>
          </w14:textFill>
        </w:rPr>
        <w:t>基本</w:t>
      </w:r>
      <w:r>
        <w:rPr>
          <w:color w:val="000000" w:themeColor="text1"/>
          <w:highlight w:val="none"/>
          <w14:textFill>
            <w14:solidFill>
              <w14:schemeClr w14:val="tx1"/>
            </w14:solidFill>
          </w14:textFill>
        </w:rPr>
        <w:t>条款，</w:t>
      </w:r>
      <w:r>
        <w:rPr>
          <w:rFonts w:hint="eastAsia"/>
          <w:color w:val="000000" w:themeColor="text1"/>
          <w:highlight w:val="none"/>
          <w14:textFill>
            <w14:solidFill>
              <w14:schemeClr w14:val="tx1"/>
            </w14:solidFill>
          </w14:textFill>
        </w:rPr>
        <w:t>中标人</w:t>
      </w:r>
      <w:r>
        <w:rPr>
          <w:color w:val="000000" w:themeColor="text1"/>
          <w:highlight w:val="none"/>
          <w14:textFill>
            <w14:solidFill>
              <w14:schemeClr w14:val="tx1"/>
            </w14:solidFill>
          </w14:textFill>
        </w:rPr>
        <w:t>不得提出实质性的修改，专用条款将</w:t>
      </w:r>
      <w:r>
        <w:rPr>
          <w:rFonts w:hint="eastAsia"/>
          <w:color w:val="000000" w:themeColor="text1"/>
          <w:highlight w:val="none"/>
          <w14:textFill>
            <w14:solidFill>
              <w14:schemeClr w14:val="tx1"/>
            </w14:solidFill>
          </w14:textFill>
        </w:rPr>
        <w:t>根据</w:t>
      </w:r>
      <w:r>
        <w:rPr>
          <w:color w:val="000000" w:themeColor="text1"/>
          <w:highlight w:val="none"/>
          <w14:textFill>
            <w14:solidFill>
              <w14:schemeClr w14:val="tx1"/>
            </w14:solidFill>
          </w14:textFill>
        </w:rPr>
        <w:t>本项目</w:t>
      </w:r>
      <w:r>
        <w:rPr>
          <w:rFonts w:hint="eastAsia"/>
          <w:color w:val="000000" w:themeColor="text1"/>
          <w:highlight w:val="none"/>
          <w14:textFill>
            <w14:solidFill>
              <w14:schemeClr w14:val="tx1"/>
            </w14:solidFill>
          </w14:textFill>
        </w:rPr>
        <w:t>中标结果</w:t>
      </w:r>
      <w:r>
        <w:rPr>
          <w:color w:val="000000" w:themeColor="text1"/>
          <w:highlight w:val="none"/>
          <w14:textFill>
            <w14:solidFill>
              <w14:schemeClr w14:val="tx1"/>
            </w14:solidFill>
          </w14:textFill>
        </w:rPr>
        <w:t>具体情况协商后签订。</w:t>
      </w:r>
      <w:bookmarkEnd w:id="117"/>
      <w:bookmarkEnd w:id="118"/>
      <w:bookmarkEnd w:id="119"/>
    </w:p>
    <w:p w14:paraId="066E7125">
      <w:pPr>
        <w:spacing w:line="360" w:lineRule="auto"/>
        <w:jc w:val="center"/>
        <w:outlineLvl w:val="0"/>
        <w:rPr>
          <w:rFonts w:hint="eastAsia" w:hAnsi="宋体"/>
          <w:bCs/>
          <w:sz w:val="30"/>
          <w:highlight w:val="none"/>
        </w:rPr>
      </w:pPr>
      <w:r>
        <w:rPr>
          <w:rFonts w:hint="eastAsia" w:hAnsi="宋体"/>
          <w:bCs/>
          <w:sz w:val="30"/>
          <w:szCs w:val="21"/>
          <w:highlight w:val="none"/>
        </w:rPr>
        <w:t>南通大学附属医院政府采购合同</w:t>
      </w:r>
      <w:r>
        <w:rPr>
          <w:rFonts w:hint="eastAsia" w:hAnsi="宋体"/>
          <w:sz w:val="30"/>
          <w:szCs w:val="21"/>
          <w:highlight w:val="none"/>
        </w:rPr>
        <w:t>（合同编号）</w:t>
      </w:r>
    </w:p>
    <w:p w14:paraId="28EE2E8A">
      <w:pPr>
        <w:spacing w:line="360" w:lineRule="auto"/>
        <w:rPr>
          <w:rFonts w:hint="eastAsia" w:hAnsi="宋体" w:cs="Courier New"/>
          <w:bCs/>
          <w:highlight w:val="none"/>
        </w:rPr>
      </w:pPr>
      <w:r>
        <w:rPr>
          <w:rFonts w:hAnsi="宋体" w:cs="Courier New"/>
          <w:bCs/>
          <w:highlight w:val="none"/>
        </w:rPr>
        <w:t>项目名称：                                       项目编号：</w:t>
      </w:r>
    </w:p>
    <w:p w14:paraId="09D94A70">
      <w:pPr>
        <w:spacing w:line="360" w:lineRule="auto"/>
        <w:rPr>
          <w:rFonts w:hint="eastAsia" w:hAnsi="宋体" w:cs="Courier New"/>
          <w:bCs/>
          <w:highlight w:val="none"/>
        </w:rPr>
      </w:pPr>
      <w:r>
        <w:rPr>
          <w:rFonts w:hAnsi="宋体" w:cs="Courier New"/>
          <w:bCs/>
          <w:highlight w:val="none"/>
        </w:rPr>
        <w:t>甲方：（买方）_________</w:t>
      </w:r>
    </w:p>
    <w:p w14:paraId="356412DE">
      <w:pPr>
        <w:spacing w:line="360" w:lineRule="auto"/>
        <w:rPr>
          <w:rFonts w:hint="eastAsia" w:hAnsi="宋体" w:cs="Courier New"/>
          <w:bCs/>
          <w:highlight w:val="none"/>
        </w:rPr>
      </w:pPr>
      <w:r>
        <w:rPr>
          <w:rFonts w:hAnsi="宋体" w:cs="Courier New"/>
          <w:bCs/>
          <w:highlight w:val="none"/>
        </w:rPr>
        <w:t>乙方：（卖方）_________</w:t>
      </w:r>
    </w:p>
    <w:p w14:paraId="2171AA2D">
      <w:pPr>
        <w:spacing w:line="360" w:lineRule="auto"/>
        <w:rPr>
          <w:rFonts w:hint="eastAsia" w:hAnsi="宋体" w:cs="Courier New"/>
          <w:bCs/>
          <w:highlight w:val="none"/>
        </w:rPr>
      </w:pPr>
      <w:r>
        <w:rPr>
          <w:rFonts w:hAnsi="宋体" w:cs="Courier New"/>
          <w:bCs/>
          <w:highlight w:val="none"/>
        </w:rPr>
        <w:t xml:space="preserve">   甲、乙双方根据</w:t>
      </w:r>
      <w:r>
        <w:rPr>
          <w:rFonts w:hint="eastAsia" w:hAnsi="宋体" w:cs="Courier New"/>
          <w:bCs/>
          <w:highlight w:val="none"/>
          <w:u w:val="single"/>
        </w:rPr>
        <w:t xml:space="preserve">         </w:t>
      </w:r>
      <w:r>
        <w:rPr>
          <w:rFonts w:hAnsi="宋体" w:cs="Courier New"/>
          <w:bCs/>
          <w:highlight w:val="none"/>
        </w:rPr>
        <w:t>项目公开招标的结果，签署本合同。</w:t>
      </w:r>
    </w:p>
    <w:p w14:paraId="527D1C4A">
      <w:pPr>
        <w:spacing w:line="360" w:lineRule="auto"/>
        <w:rPr>
          <w:rFonts w:hint="eastAsia" w:hAnsi="宋体" w:cs="Courier New"/>
          <w:bCs/>
          <w:highlight w:val="none"/>
        </w:rPr>
      </w:pPr>
      <w:r>
        <w:rPr>
          <w:rFonts w:hAnsi="宋体" w:cs="Courier New"/>
          <w:bCs/>
          <w:highlight w:val="none"/>
        </w:rPr>
        <w:t>一、</w:t>
      </w:r>
      <w:r>
        <w:rPr>
          <w:rFonts w:hint="eastAsia" w:hAnsi="宋体" w:cs="Courier New"/>
          <w:bCs/>
          <w:highlight w:val="none"/>
        </w:rPr>
        <w:t>合同</w:t>
      </w:r>
      <w:r>
        <w:rPr>
          <w:rFonts w:hAnsi="宋体" w:cs="Courier New"/>
          <w:bCs/>
          <w:highlight w:val="none"/>
        </w:rPr>
        <w:t>内容</w:t>
      </w:r>
    </w:p>
    <w:p w14:paraId="2AC65260">
      <w:pPr>
        <w:spacing w:line="360" w:lineRule="auto"/>
        <w:rPr>
          <w:rFonts w:hint="eastAsia" w:hAnsi="宋体" w:cs="Courier New"/>
          <w:bCs/>
          <w:highlight w:val="none"/>
        </w:rPr>
      </w:pPr>
      <w:r>
        <w:rPr>
          <w:rFonts w:hAnsi="宋体" w:cs="Courier New"/>
          <w:bCs/>
          <w:highlight w:val="none"/>
        </w:rPr>
        <w:t xml:space="preserve">1.1 </w:t>
      </w:r>
      <w:r>
        <w:rPr>
          <w:rFonts w:hint="eastAsia" w:hAnsi="宋体" w:cs="Courier New"/>
          <w:bCs/>
          <w:highlight w:val="none"/>
        </w:rPr>
        <w:t>标的</w:t>
      </w:r>
      <w:r>
        <w:rPr>
          <w:rFonts w:hAnsi="宋体" w:cs="Courier New"/>
          <w:bCs/>
          <w:highlight w:val="none"/>
        </w:rPr>
        <w:t>名称：</w:t>
      </w:r>
      <w:r>
        <w:rPr>
          <w:rFonts w:hint="eastAsia" w:hAnsi="宋体" w:cs="Courier New"/>
          <w:bCs/>
          <w:highlight w:val="none"/>
        </w:rPr>
        <w:t xml:space="preserve"> </w:t>
      </w:r>
    </w:p>
    <w:p w14:paraId="6992F546">
      <w:pPr>
        <w:spacing w:line="360" w:lineRule="auto"/>
        <w:ind w:left="372" w:hanging="372"/>
        <w:rPr>
          <w:rFonts w:hint="eastAsia" w:hAnsi="宋体" w:cs="Courier New"/>
          <w:bCs/>
          <w:highlight w:val="none"/>
        </w:rPr>
      </w:pPr>
      <w:r>
        <w:rPr>
          <w:rFonts w:hAnsi="宋体" w:cs="Courier New"/>
          <w:bCs/>
          <w:highlight w:val="none"/>
        </w:rPr>
        <w:t>1.2</w:t>
      </w:r>
      <w:r>
        <w:rPr>
          <w:rFonts w:hint="eastAsia" w:hAnsi="宋体" w:cs="Courier New"/>
          <w:bCs/>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p>
    <w:p w14:paraId="184E2ACE">
      <w:pPr>
        <w:spacing w:line="360" w:lineRule="auto"/>
        <w:rPr>
          <w:rFonts w:hint="eastAsia" w:hAnsi="宋体" w:cs="Courier New"/>
          <w:bCs/>
          <w:highlight w:val="none"/>
        </w:rPr>
      </w:pPr>
      <w:r>
        <w:rPr>
          <w:rFonts w:hint="eastAsia" w:hAnsi="宋体" w:cs="Courier New"/>
          <w:bCs/>
          <w:highlight w:val="none"/>
        </w:rPr>
        <w:t>1.3 标的数量（规模）：</w:t>
      </w:r>
    </w:p>
    <w:p w14:paraId="0EC13049">
      <w:pPr>
        <w:spacing w:line="360" w:lineRule="auto"/>
        <w:rPr>
          <w:rFonts w:hint="eastAsia" w:hAnsi="宋体" w:cs="Courier New"/>
          <w:bCs/>
          <w:highlight w:val="none"/>
        </w:rPr>
      </w:pPr>
      <w:r>
        <w:rPr>
          <w:rFonts w:hint="eastAsia" w:hAnsi="宋体" w:cs="Courier New"/>
          <w:bCs/>
          <w:highlight w:val="none"/>
        </w:rPr>
        <w:t>1.4 履行时间（期限）：</w:t>
      </w:r>
    </w:p>
    <w:p w14:paraId="7B887A45">
      <w:pPr>
        <w:spacing w:line="360" w:lineRule="auto"/>
        <w:rPr>
          <w:rFonts w:hint="eastAsia" w:hAnsi="宋体" w:cs="Courier New"/>
          <w:bCs/>
          <w:highlight w:val="none"/>
        </w:rPr>
      </w:pPr>
      <w:r>
        <w:rPr>
          <w:rFonts w:hint="eastAsia" w:hAnsi="宋体" w:cs="Courier New"/>
          <w:bCs/>
          <w:highlight w:val="none"/>
        </w:rPr>
        <w:t>1.5 履行地点：</w:t>
      </w:r>
    </w:p>
    <w:p w14:paraId="46611575">
      <w:pPr>
        <w:spacing w:line="360" w:lineRule="auto"/>
        <w:rPr>
          <w:rFonts w:hint="eastAsia" w:hAnsi="宋体" w:cs="Courier New"/>
          <w:bCs/>
          <w:highlight w:val="none"/>
        </w:rPr>
      </w:pPr>
      <w:r>
        <w:rPr>
          <w:rFonts w:hAnsi="宋体" w:cs="Courier New"/>
          <w:bCs/>
          <w:highlight w:val="none"/>
        </w:rPr>
        <w:t>1.</w:t>
      </w:r>
      <w:r>
        <w:rPr>
          <w:rFonts w:hint="eastAsia" w:hAnsi="宋体" w:cs="Courier New"/>
          <w:bCs/>
          <w:highlight w:val="none"/>
        </w:rPr>
        <w:t>6 履行方式：</w:t>
      </w:r>
    </w:p>
    <w:p w14:paraId="6AE46048">
      <w:pPr>
        <w:spacing w:line="360" w:lineRule="auto"/>
        <w:rPr>
          <w:rFonts w:hint="eastAsia" w:hAnsi="宋体" w:cs="Courier New"/>
          <w:bCs/>
          <w:highlight w:val="none"/>
        </w:rPr>
      </w:pPr>
      <w:r>
        <w:rPr>
          <w:rFonts w:hint="eastAsia" w:hAnsi="宋体" w:cs="Courier New"/>
          <w:bCs/>
          <w:highlight w:val="none"/>
        </w:rPr>
        <w:t>1.7 包装方式：参考《商品包装政府采购需求标准（试行）》《快递包装政府采购需求标准（试行）》产品及相关快递服务的具体包装要求</w:t>
      </w:r>
    </w:p>
    <w:p w14:paraId="05EA4F4B">
      <w:pPr>
        <w:spacing w:line="360" w:lineRule="auto"/>
        <w:rPr>
          <w:rFonts w:hint="eastAsia" w:hAnsi="宋体" w:cs="Courier New"/>
          <w:bCs/>
          <w:highlight w:val="none"/>
        </w:rPr>
      </w:pPr>
      <w:r>
        <w:rPr>
          <w:rFonts w:hAnsi="宋体" w:cs="Courier New"/>
          <w:bCs/>
          <w:highlight w:val="none"/>
        </w:rPr>
        <w:t>二、合同金额</w:t>
      </w:r>
    </w:p>
    <w:p w14:paraId="1F114CB1">
      <w:pPr>
        <w:spacing w:line="360" w:lineRule="auto"/>
        <w:ind w:left="359" w:hanging="359"/>
        <w:rPr>
          <w:rFonts w:hint="eastAsia" w:hAnsi="宋体" w:cs="Courier New"/>
          <w:bCs/>
          <w:highlight w:val="none"/>
        </w:rPr>
      </w:pPr>
      <w:r>
        <w:rPr>
          <w:rFonts w:hAnsi="宋体" w:cs="Courier New"/>
          <w:bCs/>
          <w:highlight w:val="none"/>
        </w:rPr>
        <w:t>2.1 本合同金额为（大写）：_______</w:t>
      </w:r>
      <w:r>
        <w:rPr>
          <w:rFonts w:hint="eastAsia" w:hAnsi="宋体" w:cs="Courier New"/>
          <w:bCs/>
          <w:highlight w:val="none"/>
        </w:rPr>
        <w:t>圆</w:t>
      </w:r>
      <w:r>
        <w:rPr>
          <w:rFonts w:hAnsi="宋体" w:cs="Courier New"/>
          <w:bCs/>
          <w:highlight w:val="none"/>
        </w:rPr>
        <w:t>（___元）人民币</w:t>
      </w:r>
      <w:r>
        <w:rPr>
          <w:rFonts w:hint="eastAsia" w:hAnsi="宋体" w:cs="Courier New"/>
          <w:bCs/>
          <w:highlight w:val="none"/>
        </w:rPr>
        <w:t>或其他币种</w:t>
      </w:r>
      <w:r>
        <w:rPr>
          <w:rFonts w:hAnsi="宋体" w:cs="Courier New"/>
          <w:bCs/>
          <w:highlight w:val="none"/>
        </w:rPr>
        <w:t>。</w:t>
      </w:r>
    </w:p>
    <w:p w14:paraId="00FB9FCC">
      <w:pPr>
        <w:spacing w:line="360" w:lineRule="auto"/>
        <w:rPr>
          <w:rFonts w:hint="eastAsia" w:hAnsi="宋体" w:cs="Courier New"/>
          <w:bCs/>
          <w:highlight w:val="none"/>
        </w:rPr>
      </w:pPr>
      <w:r>
        <w:rPr>
          <w:rFonts w:hAnsi="宋体" w:cs="Courier New"/>
          <w:bCs/>
          <w:highlight w:val="none"/>
        </w:rPr>
        <w:t>三、技术资料</w:t>
      </w:r>
    </w:p>
    <w:p w14:paraId="3305BFB4">
      <w:pPr>
        <w:spacing w:line="360" w:lineRule="auto"/>
        <w:ind w:left="359" w:hanging="359"/>
        <w:rPr>
          <w:rFonts w:hint="eastAsia" w:hAnsi="宋体" w:cs="Courier New"/>
          <w:bCs/>
          <w:highlight w:val="none"/>
        </w:rPr>
      </w:pPr>
      <w:r>
        <w:rPr>
          <w:rFonts w:hAnsi="宋体" w:cs="Courier New"/>
          <w:bCs/>
          <w:highlight w:val="none"/>
        </w:rPr>
        <w:t>3.1乙方应按招标文件规定的时间向甲方提供使用货物</w:t>
      </w:r>
      <w:r>
        <w:rPr>
          <w:rFonts w:hint="eastAsia" w:hAnsi="宋体" w:cs="Courier New"/>
          <w:bCs/>
          <w:highlight w:val="none"/>
        </w:rPr>
        <w:t>(包含与货物相关的服务)</w:t>
      </w:r>
      <w:r>
        <w:rPr>
          <w:rFonts w:hAnsi="宋体" w:cs="Courier New"/>
          <w:bCs/>
          <w:highlight w:val="none"/>
        </w:rPr>
        <w:t>的有关技术资料。</w:t>
      </w:r>
    </w:p>
    <w:p w14:paraId="58FE31C3">
      <w:pPr>
        <w:spacing w:line="360" w:lineRule="auto"/>
        <w:ind w:left="359" w:hanging="359"/>
        <w:rPr>
          <w:rFonts w:hint="eastAsia" w:hAnsi="宋体" w:cs="Courier New"/>
          <w:bCs/>
          <w:highlight w:val="none"/>
        </w:rPr>
      </w:pPr>
      <w:r>
        <w:rPr>
          <w:rFonts w:hAnsi="宋体" w:cs="Courier New"/>
          <w:bCs/>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177CB3">
      <w:pPr>
        <w:spacing w:line="360" w:lineRule="auto"/>
        <w:ind w:left="359" w:hanging="359"/>
        <w:rPr>
          <w:rFonts w:hint="eastAsia" w:hAnsi="宋体" w:cs="Courier New"/>
          <w:bCs/>
          <w:highlight w:val="none"/>
        </w:rPr>
      </w:pPr>
      <w:r>
        <w:rPr>
          <w:rFonts w:hAnsi="宋体" w:cs="Courier New"/>
          <w:bCs/>
          <w:highlight w:val="none"/>
        </w:rPr>
        <w:t>四、知识产权</w:t>
      </w:r>
    </w:p>
    <w:p w14:paraId="5A29029A">
      <w:pPr>
        <w:spacing w:line="360" w:lineRule="auto"/>
        <w:rPr>
          <w:rFonts w:hint="eastAsia" w:hAnsi="宋体"/>
          <w:bCs/>
          <w:szCs w:val="21"/>
          <w:highlight w:val="none"/>
        </w:rPr>
      </w:pPr>
      <w:r>
        <w:rPr>
          <w:rFonts w:hAnsi="宋体"/>
          <w:bCs/>
          <w:highlight w:val="none"/>
        </w:rPr>
        <w:t>4.1乙</w:t>
      </w:r>
      <w:r>
        <w:rPr>
          <w:rFonts w:hint="eastAsia" w:hAnsi="宋体"/>
          <w:bCs/>
          <w:szCs w:val="21"/>
          <w:highlight w:val="none"/>
        </w:rPr>
        <w:t>方应保证甲方在使用、接受本合同货物</w:t>
      </w:r>
      <w:r>
        <w:rPr>
          <w:rFonts w:hint="eastAsia" w:hAnsi="宋体"/>
          <w:bCs/>
          <w:highlight w:val="none"/>
        </w:rPr>
        <w:t>（包含与货物相关的服务）</w:t>
      </w:r>
      <w:r>
        <w:rPr>
          <w:rFonts w:hint="eastAsia" w:hAnsi="宋体"/>
          <w:bCs/>
          <w:szCs w:val="21"/>
          <w:highlight w:val="none"/>
        </w:rPr>
        <w:t>或其任何一部分时不受第三方提出侵犯其专利权、版权、商标权和工业设计权等知识产权的起诉。一旦出现侵权，由乙方负全部责任。</w:t>
      </w:r>
    </w:p>
    <w:p w14:paraId="46AE51F9">
      <w:pPr>
        <w:spacing w:line="360" w:lineRule="auto"/>
        <w:rPr>
          <w:rFonts w:hint="eastAsia" w:hAnsi="宋体" w:cs="Courier New"/>
          <w:bCs/>
          <w:highlight w:val="none"/>
          <w:u w:val="single"/>
        </w:rPr>
      </w:pPr>
      <w:r>
        <w:rPr>
          <w:rFonts w:hAnsi="宋体" w:cs="Courier New"/>
          <w:bCs/>
          <w:highlight w:val="none"/>
        </w:rPr>
        <w:t>五、产权担保</w:t>
      </w:r>
    </w:p>
    <w:p w14:paraId="6AD2EE19">
      <w:pPr>
        <w:spacing w:line="360" w:lineRule="auto"/>
        <w:ind w:left="357" w:hanging="357"/>
        <w:rPr>
          <w:rFonts w:hint="eastAsia" w:hAnsi="宋体" w:cs="Courier New"/>
          <w:bCs/>
          <w:highlight w:val="none"/>
          <w:u w:val="single"/>
        </w:rPr>
      </w:pPr>
      <w:r>
        <w:rPr>
          <w:rFonts w:hAnsi="宋体" w:cs="Courier New"/>
          <w:bCs/>
          <w:highlight w:val="none"/>
        </w:rPr>
        <w:t>5.1 乙方保证所交付的货物</w:t>
      </w:r>
      <w:r>
        <w:rPr>
          <w:rFonts w:hint="eastAsia" w:hAnsi="宋体" w:cs="Courier New"/>
          <w:bCs/>
          <w:highlight w:val="none"/>
        </w:rPr>
        <w:t>（包含与货物相关的服务）</w:t>
      </w:r>
      <w:r>
        <w:rPr>
          <w:rFonts w:hAnsi="宋体" w:cs="Courier New"/>
          <w:bCs/>
          <w:highlight w:val="none"/>
        </w:rPr>
        <w:t>的所有权完全属于乙方且无任何抵押、查封等产权瑕疵。</w:t>
      </w:r>
    </w:p>
    <w:p w14:paraId="62CFC724">
      <w:pPr>
        <w:spacing w:line="360" w:lineRule="auto"/>
        <w:ind w:left="357" w:hanging="357"/>
        <w:rPr>
          <w:rFonts w:hint="eastAsia" w:hAnsi="宋体" w:cs="Courier New"/>
          <w:bCs/>
          <w:highlight w:val="none"/>
        </w:rPr>
      </w:pPr>
      <w:r>
        <w:rPr>
          <w:rFonts w:hAnsi="宋体" w:cs="Courier New"/>
          <w:bCs/>
          <w:highlight w:val="none"/>
        </w:rPr>
        <w:t>六、履约保证金</w:t>
      </w:r>
    </w:p>
    <w:p w14:paraId="0F8DC86C">
      <w:pPr>
        <w:spacing w:line="360" w:lineRule="auto"/>
        <w:ind w:left="357" w:hanging="357"/>
        <w:rPr>
          <w:rFonts w:hint="eastAsia" w:hAnsi="宋体" w:cs="Courier New"/>
          <w:bCs/>
          <w:highlight w:val="none"/>
        </w:rPr>
      </w:pPr>
      <w:r>
        <w:rPr>
          <w:rFonts w:hAnsi="宋体" w:cs="Courier New"/>
          <w:bCs/>
          <w:highlight w:val="none"/>
        </w:rPr>
        <w:t>6.1 乙方交纳人民币_________元作为本合同的履约保证金。</w:t>
      </w:r>
      <w:r>
        <w:rPr>
          <w:rFonts w:hint="eastAsia" w:hAnsi="宋体" w:cs="Courier New"/>
          <w:bCs/>
          <w:highlight w:val="none"/>
        </w:rPr>
        <w:t>（不得超过合同金额的10%）</w:t>
      </w:r>
    </w:p>
    <w:p w14:paraId="7D632076">
      <w:pPr>
        <w:spacing w:line="360" w:lineRule="auto"/>
        <w:ind w:left="357" w:hanging="357"/>
        <w:rPr>
          <w:rFonts w:hint="eastAsia" w:hAnsi="宋体" w:cs="Courier New"/>
          <w:bCs/>
          <w:highlight w:val="none"/>
        </w:rPr>
      </w:pPr>
      <w:r>
        <w:rPr>
          <w:rFonts w:hint="eastAsia" w:hAnsi="宋体" w:cs="Courier New"/>
          <w:bCs/>
          <w:highlight w:val="none"/>
        </w:rPr>
        <w:t>6.2合同履行结束后，甲方应及时退还交纳的履约保证金。</w:t>
      </w:r>
    </w:p>
    <w:p w14:paraId="7607A6E7">
      <w:pPr>
        <w:spacing w:line="360" w:lineRule="auto"/>
        <w:ind w:left="357" w:hanging="357"/>
        <w:rPr>
          <w:rFonts w:hint="eastAsia" w:hAnsi="宋体" w:cs="Courier New"/>
          <w:bCs/>
          <w:highlight w:val="none"/>
        </w:rPr>
      </w:pPr>
      <w:r>
        <w:rPr>
          <w:rFonts w:hint="eastAsia" w:hAnsi="宋体" w:cs="Courier New"/>
          <w:bCs/>
          <w:highlight w:val="none"/>
        </w:rPr>
        <w:t>6.2.1履约保证金退还方式：</w:t>
      </w:r>
    </w:p>
    <w:p w14:paraId="1527C304">
      <w:pPr>
        <w:spacing w:line="360" w:lineRule="auto"/>
        <w:ind w:left="357" w:hanging="357"/>
        <w:rPr>
          <w:rFonts w:hint="eastAsia" w:hAnsi="宋体" w:cs="Courier New"/>
          <w:bCs/>
          <w:highlight w:val="none"/>
        </w:rPr>
      </w:pPr>
      <w:r>
        <w:rPr>
          <w:rFonts w:hint="eastAsia" w:hAnsi="宋体" w:cs="Courier New"/>
          <w:bCs/>
          <w:highlight w:val="none"/>
        </w:rPr>
        <w:t>6.2.2履约保证金退还时间：</w:t>
      </w:r>
    </w:p>
    <w:p w14:paraId="247B3E0D">
      <w:pPr>
        <w:spacing w:line="360" w:lineRule="auto"/>
        <w:ind w:left="357" w:hanging="357"/>
        <w:rPr>
          <w:rFonts w:hint="eastAsia" w:hAnsi="宋体" w:cs="Courier New"/>
          <w:bCs/>
          <w:highlight w:val="none"/>
        </w:rPr>
      </w:pPr>
      <w:r>
        <w:rPr>
          <w:rFonts w:hint="eastAsia" w:hAnsi="宋体" w:cs="Courier New"/>
          <w:bCs/>
          <w:highlight w:val="none"/>
        </w:rPr>
        <w:t>6.2.3履约保证金退还条件：</w:t>
      </w:r>
    </w:p>
    <w:p w14:paraId="5BF897C3">
      <w:pPr>
        <w:spacing w:line="360" w:lineRule="auto"/>
        <w:ind w:left="357" w:hanging="357"/>
        <w:rPr>
          <w:rFonts w:hint="eastAsia" w:hAnsi="宋体" w:cs="Courier New"/>
          <w:bCs/>
          <w:highlight w:val="none"/>
        </w:rPr>
      </w:pPr>
      <w:r>
        <w:rPr>
          <w:rFonts w:hint="eastAsia" w:hAnsi="宋体" w:cs="Courier New"/>
          <w:bCs/>
          <w:highlight w:val="none"/>
        </w:rPr>
        <w:t>6.2.4履约保证金不予退还的情形：</w:t>
      </w:r>
    </w:p>
    <w:p w14:paraId="79A7F09D">
      <w:pPr>
        <w:spacing w:line="360" w:lineRule="auto"/>
        <w:rPr>
          <w:rFonts w:hint="eastAsia" w:hAnsi="宋体" w:eastAsia="仿宋_GB2312"/>
          <w:bCs/>
          <w:highlight w:val="none"/>
        </w:rPr>
      </w:pPr>
      <w:r>
        <w:rPr>
          <w:rFonts w:hint="eastAsia" w:hAnsi="宋体"/>
          <w:bCs/>
          <w:highlight w:val="none"/>
        </w:rPr>
        <w:t>七、合同转包或分包</w:t>
      </w:r>
    </w:p>
    <w:p w14:paraId="4EC37AB0">
      <w:pPr>
        <w:spacing w:line="360" w:lineRule="auto"/>
        <w:rPr>
          <w:rFonts w:hint="eastAsia" w:hAnsi="宋体"/>
          <w:bCs/>
          <w:highlight w:val="none"/>
        </w:rPr>
      </w:pPr>
      <w:r>
        <w:rPr>
          <w:rFonts w:hint="eastAsia" w:hAnsi="宋体"/>
          <w:bCs/>
          <w:highlight w:val="none"/>
        </w:rPr>
        <w:t>7.1乙方不得将合同标的转包给他人履行。</w:t>
      </w:r>
    </w:p>
    <w:p w14:paraId="1798FA8A">
      <w:pPr>
        <w:spacing w:line="360" w:lineRule="auto"/>
        <w:rPr>
          <w:rFonts w:hint="eastAsia" w:hAnsi="宋体"/>
          <w:bCs/>
          <w:highlight w:val="none"/>
        </w:rPr>
      </w:pPr>
      <w:r>
        <w:rPr>
          <w:rFonts w:hint="eastAsia" w:hAnsi="宋体"/>
          <w:bCs/>
          <w:highlight w:val="none"/>
        </w:rPr>
        <w:t>7.2乙方不得将合同标的分包给他人履行。</w:t>
      </w:r>
    </w:p>
    <w:p w14:paraId="6D6B221F">
      <w:pPr>
        <w:spacing w:line="360" w:lineRule="auto"/>
        <w:rPr>
          <w:rFonts w:hint="eastAsia" w:hAnsi="宋体" w:eastAsia="仿宋_GB2312"/>
          <w:bCs/>
          <w:highlight w:val="none"/>
        </w:rPr>
      </w:pPr>
      <w:r>
        <w:rPr>
          <w:rFonts w:hAnsi="宋体"/>
          <w:bCs/>
          <w:highlight w:val="none"/>
        </w:rPr>
        <w:t>7.3</w:t>
      </w:r>
      <w:r>
        <w:rPr>
          <w:rFonts w:hint="eastAsia" w:hAnsi="宋体"/>
          <w:bCs/>
          <w:highlight w:val="none"/>
        </w:rPr>
        <w:t>乙方如有转包或未经甲方同意的分包行为，甲方有权给予终止合同。</w:t>
      </w:r>
    </w:p>
    <w:p w14:paraId="613C72CE">
      <w:pPr>
        <w:spacing w:line="360" w:lineRule="auto"/>
        <w:rPr>
          <w:rFonts w:hint="eastAsia" w:hAnsi="宋体" w:cs="Courier New"/>
          <w:bCs/>
          <w:highlight w:val="none"/>
        </w:rPr>
      </w:pPr>
      <w:r>
        <w:rPr>
          <w:rFonts w:hint="eastAsia" w:hAnsi="宋体" w:cs="Courier New"/>
          <w:bCs/>
          <w:highlight w:val="none"/>
        </w:rPr>
        <w:t>八</w:t>
      </w:r>
      <w:r>
        <w:rPr>
          <w:rFonts w:hAnsi="宋体" w:cs="Courier New"/>
          <w:bCs/>
          <w:highlight w:val="none"/>
        </w:rPr>
        <w:t>、</w:t>
      </w:r>
      <w:r>
        <w:rPr>
          <w:rFonts w:hint="eastAsia" w:hAnsi="宋体" w:cs="Courier New"/>
          <w:bCs/>
          <w:highlight w:val="none"/>
        </w:rPr>
        <w:t>合同款项</w:t>
      </w:r>
      <w:r>
        <w:rPr>
          <w:rFonts w:hAnsi="宋体" w:cs="Courier New"/>
          <w:bCs/>
          <w:highlight w:val="none"/>
        </w:rPr>
        <w:t>支付</w:t>
      </w:r>
    </w:p>
    <w:p w14:paraId="16CD78AF">
      <w:pPr>
        <w:spacing w:line="360" w:lineRule="auto"/>
        <w:rPr>
          <w:rFonts w:hint="eastAsia" w:hAnsi="宋体" w:cs="Courier New"/>
          <w:bCs/>
          <w:highlight w:val="none"/>
        </w:rPr>
      </w:pPr>
      <w:r>
        <w:rPr>
          <w:rFonts w:hint="eastAsia" w:hAnsi="宋体" w:cs="Courier New"/>
          <w:bCs/>
          <w:highlight w:val="none"/>
        </w:rPr>
        <w:t>8</w:t>
      </w:r>
      <w:r>
        <w:rPr>
          <w:rFonts w:hAnsi="宋体" w:cs="Courier New"/>
          <w:bCs/>
          <w:highlight w:val="none"/>
        </w:rPr>
        <w:t>.1</w:t>
      </w:r>
      <w:r>
        <w:rPr>
          <w:rFonts w:hint="eastAsia" w:hAnsi="宋体" w:cs="Courier New"/>
          <w:bCs/>
          <w:highlight w:val="none"/>
        </w:rPr>
        <w:t>合同款项的支付方式及进度安排</w:t>
      </w:r>
    </w:p>
    <w:p w14:paraId="23F58EAA">
      <w:pPr>
        <w:spacing w:line="360" w:lineRule="auto"/>
        <w:rPr>
          <w:rFonts w:hint="eastAsia" w:hAnsi="宋体" w:cs="Courier New"/>
          <w:bCs/>
          <w:highlight w:val="none"/>
        </w:rPr>
      </w:pPr>
      <w:r>
        <w:rPr>
          <w:rFonts w:hint="eastAsia" w:hAnsi="宋体" w:cs="Courier New"/>
          <w:bCs/>
          <w:highlight w:val="none"/>
        </w:rPr>
        <w:t>8</w:t>
      </w:r>
      <w:r>
        <w:rPr>
          <w:rFonts w:hint="eastAsia" w:hAnsi="宋体" w:cs="Courier New"/>
          <w:bCs/>
          <w:highlight w:val="none"/>
          <w:lang w:val="en-US" w:eastAsia="zh-CN"/>
        </w:rPr>
        <w:t>.</w:t>
      </w:r>
      <w:r>
        <w:rPr>
          <w:rFonts w:hint="eastAsia" w:hAnsi="宋体" w:cs="Courier New"/>
          <w:bCs/>
          <w:highlight w:val="none"/>
        </w:rPr>
        <w:t>1.1 预付款支付时间：</w:t>
      </w:r>
      <w:r>
        <w:rPr>
          <w:rFonts w:hint="eastAsia" w:hAnsi="宋体" w:cs="Courier New"/>
          <w:bCs/>
          <w:highlight w:val="none"/>
          <w:u w:val="single"/>
        </w:rPr>
        <w:t xml:space="preserve">               </w:t>
      </w:r>
      <w:r>
        <w:rPr>
          <w:rFonts w:hint="eastAsia" w:hAnsi="宋体" w:cs="Courier New"/>
          <w:bCs/>
          <w:highlight w:val="none"/>
        </w:rPr>
        <w:t>，预付款支付比例：</w:t>
      </w:r>
      <w:r>
        <w:rPr>
          <w:rFonts w:hint="eastAsia" w:hAnsi="宋体" w:cs="Courier New"/>
          <w:bCs/>
          <w:highlight w:val="none"/>
          <w:u w:val="single"/>
        </w:rPr>
        <w:t>合同金额的**%</w:t>
      </w:r>
      <w:r>
        <w:rPr>
          <w:rFonts w:hint="eastAsia" w:hAnsi="宋体" w:cs="Courier New"/>
          <w:bCs/>
          <w:highlight w:val="none"/>
        </w:rPr>
        <w:t>。</w:t>
      </w:r>
    </w:p>
    <w:p w14:paraId="0A2EFD51">
      <w:pPr>
        <w:spacing w:line="360" w:lineRule="auto"/>
        <w:rPr>
          <w:rFonts w:hint="eastAsia" w:hAnsi="宋体" w:cs="Courier New"/>
          <w:bCs/>
          <w:highlight w:val="none"/>
          <w:u w:val="single"/>
        </w:rPr>
      </w:pPr>
      <w:r>
        <w:rPr>
          <w:rFonts w:hint="eastAsia" w:hAnsi="宋体" w:cs="Courier New"/>
          <w:bCs/>
          <w:highlight w:val="none"/>
        </w:rPr>
        <w:t>8.1.2 尾款支付时间：</w:t>
      </w:r>
      <w:r>
        <w:rPr>
          <w:rFonts w:hint="eastAsia" w:hAnsi="宋体" w:cs="Courier New"/>
          <w:bCs/>
          <w:highlight w:val="none"/>
          <w:u w:val="single"/>
        </w:rPr>
        <w:t xml:space="preserve">              </w:t>
      </w:r>
      <w:r>
        <w:rPr>
          <w:rFonts w:hint="eastAsia" w:hAnsi="宋体" w:cs="Courier New"/>
          <w:bCs/>
          <w:highlight w:val="none"/>
        </w:rPr>
        <w:t>。</w:t>
      </w:r>
    </w:p>
    <w:p w14:paraId="6CCC3801">
      <w:pPr>
        <w:spacing w:line="360" w:lineRule="auto"/>
        <w:ind w:left="420" w:hanging="420"/>
        <w:rPr>
          <w:rFonts w:hint="eastAsia" w:hAnsi="宋体" w:cs="Courier New"/>
          <w:bCs/>
          <w:highlight w:val="none"/>
        </w:rPr>
      </w:pPr>
      <w:r>
        <w:rPr>
          <w:rFonts w:hint="eastAsia" w:hAnsi="宋体" w:cs="Courier New"/>
          <w:bCs/>
          <w:highlight w:val="none"/>
        </w:rPr>
        <w:t>8</w:t>
      </w:r>
      <w:r>
        <w:rPr>
          <w:rFonts w:hAnsi="宋体" w:cs="Courier New"/>
          <w:bCs/>
          <w:highlight w:val="none"/>
        </w:rPr>
        <w:t>.2当采购数量与实际使用数量不一致时，</w:t>
      </w:r>
      <w:r>
        <w:rPr>
          <w:rFonts w:hint="eastAsia" w:hAnsi="宋体" w:cs="Courier New"/>
          <w:bCs/>
          <w:highlight w:val="none"/>
        </w:rPr>
        <w:t>乙方</w:t>
      </w:r>
      <w:r>
        <w:rPr>
          <w:rFonts w:hAnsi="宋体" w:cs="Courier New"/>
          <w:bCs/>
          <w:highlight w:val="none"/>
        </w:rPr>
        <w:t>应根据实际使用量供货，合同的最终结算金额按实际使用量乘以成交单价进行计算。</w:t>
      </w:r>
    </w:p>
    <w:p w14:paraId="0E15B8C0">
      <w:pPr>
        <w:spacing w:line="360" w:lineRule="auto"/>
        <w:rPr>
          <w:rFonts w:hint="eastAsia" w:hAnsi="宋体" w:eastAsia="仿宋_GB2312"/>
          <w:bCs/>
          <w:highlight w:val="none"/>
        </w:rPr>
      </w:pPr>
      <w:r>
        <w:rPr>
          <w:rFonts w:hint="eastAsia" w:hAnsi="宋体"/>
          <w:bCs/>
          <w:highlight w:val="none"/>
        </w:rPr>
        <w:t>九、税费</w:t>
      </w:r>
    </w:p>
    <w:p w14:paraId="1077C374">
      <w:pPr>
        <w:spacing w:line="360" w:lineRule="auto"/>
        <w:rPr>
          <w:rFonts w:hint="eastAsia" w:hAnsi="宋体" w:eastAsia="仿宋_GB2312"/>
          <w:bCs/>
          <w:highlight w:val="none"/>
        </w:rPr>
      </w:pPr>
      <w:r>
        <w:rPr>
          <w:rFonts w:hint="eastAsia" w:hAnsi="宋体"/>
          <w:bCs/>
          <w:highlight w:val="none"/>
        </w:rPr>
        <w:t>9</w:t>
      </w:r>
      <w:r>
        <w:rPr>
          <w:rFonts w:hAnsi="宋体"/>
          <w:bCs/>
          <w:highlight w:val="none"/>
        </w:rPr>
        <w:t>.1</w:t>
      </w:r>
      <w:r>
        <w:rPr>
          <w:rFonts w:hint="eastAsia" w:hAnsi="宋体"/>
          <w:bCs/>
          <w:highlight w:val="none"/>
        </w:rPr>
        <w:t>本合同执行中相关的一切税费均由乙方负担。</w:t>
      </w:r>
    </w:p>
    <w:p w14:paraId="68CC0C51">
      <w:pPr>
        <w:spacing w:line="360" w:lineRule="auto"/>
        <w:ind w:left="359" w:hanging="359"/>
        <w:rPr>
          <w:rFonts w:hint="eastAsia" w:hAnsi="宋体" w:cs="Courier New"/>
          <w:bCs/>
          <w:highlight w:val="none"/>
        </w:rPr>
      </w:pPr>
      <w:r>
        <w:rPr>
          <w:rFonts w:hAnsi="宋体" w:cs="Courier New"/>
          <w:bCs/>
          <w:highlight w:val="none"/>
        </w:rPr>
        <w:t>十、质量</w:t>
      </w:r>
      <w:r>
        <w:rPr>
          <w:rFonts w:hint="eastAsia" w:hAnsi="宋体" w:cs="Courier New"/>
          <w:bCs/>
          <w:highlight w:val="none"/>
        </w:rPr>
        <w:t>保修范围和保修期</w:t>
      </w:r>
      <w:r>
        <w:rPr>
          <w:rFonts w:hAnsi="宋体" w:cs="Courier New"/>
          <w:bCs/>
          <w:highlight w:val="none"/>
        </w:rPr>
        <w:t>及售后服务</w:t>
      </w:r>
    </w:p>
    <w:p w14:paraId="1A188352">
      <w:pPr>
        <w:spacing w:line="360" w:lineRule="auto"/>
        <w:ind w:left="359" w:hanging="359"/>
        <w:rPr>
          <w:rFonts w:hint="eastAsia" w:hAnsi="宋体" w:cs="Courier New"/>
          <w:bCs/>
          <w:highlight w:val="none"/>
        </w:rPr>
      </w:pPr>
      <w:r>
        <w:rPr>
          <w:rFonts w:hAnsi="宋体" w:cs="Courier New"/>
          <w:bCs/>
          <w:highlight w:val="none"/>
        </w:rPr>
        <w:t>1</w:t>
      </w:r>
      <w:r>
        <w:rPr>
          <w:rFonts w:hint="eastAsia" w:hAnsi="宋体" w:cs="Courier New"/>
          <w:bCs/>
          <w:highlight w:val="none"/>
        </w:rPr>
        <w:t>0</w:t>
      </w:r>
      <w:r>
        <w:rPr>
          <w:rFonts w:hAnsi="宋体" w:cs="Courier New"/>
          <w:bCs/>
          <w:highlight w:val="none"/>
        </w:rPr>
        <w:t>.1 乙方应按招标文件规定的货物性能、技术要求、质量标准向甲方提供未经使用的全新产品。</w:t>
      </w:r>
    </w:p>
    <w:p w14:paraId="37A4B41D">
      <w:pPr>
        <w:spacing w:line="360" w:lineRule="auto"/>
        <w:ind w:left="420" w:hanging="420"/>
        <w:rPr>
          <w:rFonts w:hint="eastAsia" w:hAnsi="宋体" w:cs="Courier New"/>
          <w:bCs/>
          <w:highlight w:val="none"/>
        </w:rPr>
      </w:pPr>
      <w:r>
        <w:rPr>
          <w:rFonts w:hAnsi="宋体" w:cs="Courier New"/>
          <w:bCs/>
          <w:highlight w:val="none"/>
        </w:rPr>
        <w:t>1</w:t>
      </w:r>
      <w:r>
        <w:rPr>
          <w:rFonts w:hint="eastAsia" w:hAnsi="宋体" w:cs="Courier New"/>
          <w:bCs/>
          <w:highlight w:val="none"/>
        </w:rPr>
        <w:t>0</w:t>
      </w:r>
      <w:r>
        <w:rPr>
          <w:rFonts w:hAnsi="宋体" w:cs="Courier New"/>
          <w:bCs/>
          <w:highlight w:val="none"/>
        </w:rPr>
        <w:t>.2 乙方提供的货物在质量期内因货物本身的质量问题发生故障，乙方应负责免费更换。对达不到技术要求者，根据实际情况，经双方协商，可按以下办法处理：</w:t>
      </w:r>
    </w:p>
    <w:p w14:paraId="2039026A">
      <w:pPr>
        <w:spacing w:line="360" w:lineRule="auto"/>
        <w:ind w:firstLine="420"/>
        <w:rPr>
          <w:rFonts w:hint="eastAsia" w:hAnsi="宋体" w:cs="Courier New"/>
          <w:bCs/>
          <w:highlight w:val="none"/>
        </w:rPr>
      </w:pPr>
      <w:r>
        <w:rPr>
          <w:rFonts w:hAnsi="宋体" w:cs="Courier New"/>
          <w:bCs/>
          <w:highlight w:val="none"/>
        </w:rPr>
        <w:t>⑴更换：由乙方承担所发生的全部费用。</w:t>
      </w:r>
    </w:p>
    <w:p w14:paraId="6CB263A4">
      <w:pPr>
        <w:spacing w:line="360" w:lineRule="auto"/>
        <w:ind w:firstLine="420"/>
        <w:rPr>
          <w:rFonts w:hint="eastAsia" w:hAnsi="宋体" w:cs="Courier New"/>
          <w:bCs/>
          <w:highlight w:val="none"/>
        </w:rPr>
      </w:pPr>
      <w:r>
        <w:rPr>
          <w:rFonts w:hAnsi="宋体" w:cs="Courier New"/>
          <w:bCs/>
          <w:highlight w:val="none"/>
        </w:rPr>
        <w:t>⑵贬值处理：由甲乙双方合议定价。</w:t>
      </w:r>
    </w:p>
    <w:p w14:paraId="767E4A3D">
      <w:pPr>
        <w:spacing w:line="360" w:lineRule="auto"/>
        <w:ind w:left="420"/>
        <w:rPr>
          <w:rFonts w:hint="eastAsia" w:hAnsi="宋体" w:cs="Courier New"/>
          <w:bCs/>
          <w:highlight w:val="none"/>
        </w:rPr>
      </w:pPr>
      <w:r>
        <w:rPr>
          <w:rFonts w:hAnsi="宋体" w:cs="Courier New"/>
          <w:bCs/>
          <w:highlight w:val="none"/>
        </w:rPr>
        <w:t>⑶退货处理：乙方应退还甲方支付的合同款，同时应承担该货物的直接费用（运输、保险、检验、货款利息及银行手续费等）。</w:t>
      </w:r>
    </w:p>
    <w:p w14:paraId="47AC63F7">
      <w:pPr>
        <w:spacing w:line="360" w:lineRule="auto"/>
        <w:rPr>
          <w:rFonts w:hint="eastAsia" w:hAnsi="宋体" w:cs="Courier New"/>
          <w:bCs/>
          <w:highlight w:val="none"/>
        </w:rPr>
      </w:pPr>
      <w:r>
        <w:rPr>
          <w:rFonts w:hAnsi="宋体" w:cs="Courier New"/>
          <w:bCs/>
          <w:highlight w:val="none"/>
        </w:rPr>
        <w:t>1</w:t>
      </w:r>
      <w:r>
        <w:rPr>
          <w:rFonts w:hint="eastAsia" w:hAnsi="宋体" w:cs="Courier New"/>
          <w:bCs/>
          <w:highlight w:val="none"/>
        </w:rPr>
        <w:t>0</w:t>
      </w:r>
      <w:r>
        <w:rPr>
          <w:rFonts w:hAnsi="宋体" w:cs="Courier New"/>
          <w:bCs/>
          <w:highlight w:val="none"/>
        </w:rPr>
        <w:t>.3 如在使用过程中发生质量问题，乙方在接到甲方通知后在_________小时内到达甲方现场。</w:t>
      </w:r>
    </w:p>
    <w:p w14:paraId="0CB690C5">
      <w:pPr>
        <w:spacing w:line="360" w:lineRule="auto"/>
        <w:rPr>
          <w:rFonts w:hint="eastAsia" w:hAnsi="宋体" w:cs="Courier New"/>
          <w:bCs/>
          <w:highlight w:val="none"/>
        </w:rPr>
      </w:pPr>
      <w:r>
        <w:rPr>
          <w:rFonts w:hAnsi="宋体" w:cs="Courier New"/>
          <w:bCs/>
          <w:highlight w:val="none"/>
        </w:rPr>
        <w:t>1</w:t>
      </w:r>
      <w:r>
        <w:rPr>
          <w:rFonts w:hint="eastAsia" w:hAnsi="宋体" w:cs="Courier New"/>
          <w:bCs/>
          <w:highlight w:val="none"/>
        </w:rPr>
        <w:t>0</w:t>
      </w:r>
      <w:r>
        <w:rPr>
          <w:rFonts w:hAnsi="宋体" w:cs="Courier New"/>
          <w:bCs/>
          <w:highlight w:val="none"/>
        </w:rPr>
        <w:t>.4 在质保期内，乙方应对货物出现的质量及安全问题负责处理解决并承担一切费用。</w:t>
      </w:r>
    </w:p>
    <w:p w14:paraId="0A90F61C">
      <w:pPr>
        <w:spacing w:line="360" w:lineRule="auto"/>
        <w:ind w:left="420" w:hanging="420"/>
        <w:rPr>
          <w:rFonts w:hint="eastAsia" w:hAnsi="宋体" w:cs="Courier New"/>
          <w:highlight w:val="none"/>
        </w:rPr>
      </w:pPr>
      <w:r>
        <w:rPr>
          <w:rFonts w:hAnsi="宋体" w:cs="Courier New"/>
          <w:bCs/>
          <w:highlight w:val="none"/>
        </w:rPr>
        <w:t>1</w:t>
      </w:r>
      <w:r>
        <w:rPr>
          <w:rFonts w:hint="eastAsia" w:hAnsi="宋体" w:cs="Courier New"/>
          <w:bCs/>
          <w:highlight w:val="none"/>
        </w:rPr>
        <w:t>0</w:t>
      </w:r>
      <w:r>
        <w:rPr>
          <w:rFonts w:hAnsi="宋体" w:cs="Courier New"/>
          <w:bCs/>
          <w:highlight w:val="none"/>
        </w:rPr>
        <w:t>.5上述的货物免费保修期为</w:t>
      </w:r>
      <w:r>
        <w:rPr>
          <w:rFonts w:hAnsi="宋体" w:cs="Courier New"/>
          <w:bCs/>
          <w:highlight w:val="none"/>
          <w:u w:val="single"/>
        </w:rPr>
        <w:t xml:space="preserve">     </w:t>
      </w:r>
      <w:r>
        <w:rPr>
          <w:rFonts w:hAnsi="宋体" w:cs="Courier New"/>
          <w:bCs/>
          <w:highlight w:val="none"/>
        </w:rPr>
        <w:t>年（自交货验收合格之日起计）</w:t>
      </w:r>
    </w:p>
    <w:p w14:paraId="6735718B">
      <w:pPr>
        <w:spacing w:line="500" w:lineRule="exact"/>
        <w:jc w:val="both"/>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br w:type="page" w:clear="all"/>
      </w:r>
    </w:p>
    <w:p w14:paraId="1B9D8FF7">
      <w:pPr>
        <w:pStyle w:val="725"/>
        <w:tabs>
          <w:tab w:val="left" w:pos="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第六部分  投标文件组成</w:t>
      </w:r>
    </w:p>
    <w:p w14:paraId="128A2AB1">
      <w:pPr>
        <w:pStyle w:val="3"/>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投标文件由资格审查证明材料，商务、技术标，价格标三部分组成。请投标人根据本招标文件的要求在以上三部分中分别上传的投标材料。</w:t>
      </w:r>
    </w:p>
    <w:p w14:paraId="3E5E253C">
      <w:pPr>
        <w:pStyle w:val="4"/>
        <w:numPr>
          <w:ilvl w:val="0"/>
          <w:numId w:val="51"/>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资格审查证明材料</w:t>
      </w:r>
    </w:p>
    <w:p w14:paraId="4CEE3448">
      <w:pPr>
        <w:pStyle w:val="3"/>
        <w:numPr>
          <w:ilvl w:val="0"/>
          <w:numId w:val="52"/>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具有独立承担民事责任的能力；（提供法人或者其他组织的营业执照等证明文件，自然人的身份证明）</w:t>
      </w:r>
    </w:p>
    <w:p w14:paraId="041F9626">
      <w:pPr>
        <w:pStyle w:val="3"/>
        <w:numPr>
          <w:ilvl w:val="0"/>
          <w:numId w:val="52"/>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具有良好的商业信誉和健全的财务会计制度；（提供上一年度的财务状况报告，成立不满一年不需提供）</w:t>
      </w:r>
    </w:p>
    <w:p w14:paraId="5D60C5F8">
      <w:pPr>
        <w:pStyle w:val="3"/>
        <w:numPr>
          <w:ilvl w:val="0"/>
          <w:numId w:val="7"/>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有依法缴纳税收和社会保障资金的良好记录；</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依法纳税凭据：提供参加政府采购活动</w:t>
      </w:r>
      <w:r>
        <w:rPr>
          <w:rFonts w:hint="eastAsia"/>
          <w:color w:val="000000" w:themeColor="text1"/>
          <w:highlight w:val="none"/>
          <w:lang w:eastAsia="zh-CN"/>
          <w14:textFill>
            <w14:solidFill>
              <w14:schemeClr w14:val="tx1"/>
            </w14:solidFill>
          </w14:textFill>
        </w:rPr>
        <w:t>前6个月内任意一个月</w:t>
      </w:r>
      <w:r>
        <w:rPr>
          <w:rFonts w:hint="eastAsia"/>
          <w:color w:val="000000" w:themeColor="text1"/>
          <w:highlight w:val="none"/>
          <w14:textFill>
            <w14:solidFill>
              <w14:schemeClr w14:val="tx1"/>
            </w14:solidFill>
          </w14:textFill>
        </w:rPr>
        <w:t>依法纳税的凭据，如完税凭证或税务机关开具的完税证明</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个人所得税除外）</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缴纳社会保险的凭据：提供参加政府采购活动</w:t>
      </w:r>
      <w:r>
        <w:rPr>
          <w:rFonts w:hint="eastAsia"/>
          <w:color w:val="000000" w:themeColor="text1"/>
          <w:highlight w:val="none"/>
          <w:lang w:eastAsia="zh-CN"/>
          <w14:textFill>
            <w14:solidFill>
              <w14:schemeClr w14:val="tx1"/>
            </w14:solidFill>
          </w14:textFill>
        </w:rPr>
        <w:t>前6个月内任意一个月</w:t>
      </w:r>
      <w:r>
        <w:rPr>
          <w:rFonts w:hint="eastAsia"/>
          <w:color w:val="000000" w:themeColor="text1"/>
          <w:highlight w:val="none"/>
          <w14:textFill>
            <w14:solidFill>
              <w14:schemeClr w14:val="tx1"/>
            </w14:solidFill>
          </w14:textFill>
        </w:rPr>
        <w:t>缴纳社会保险的凭据，如专用收据或社会保险缴纳清单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依法免税或不需要缴纳社会保障资金的证明文件</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如果供应商依法免税或不需要缴纳社会保障资金，则须提供相应的证明文件，以说明其免税或无需缴纳的依据和情况</w:t>
      </w:r>
      <w:r>
        <w:rPr>
          <w:rFonts w:hint="eastAsia"/>
          <w:color w:val="000000" w:themeColor="text1"/>
          <w:highlight w:val="none"/>
          <w:lang w:val="en-US" w:eastAsia="zh-CN"/>
          <w14:textFill>
            <w14:solidFill>
              <w14:schemeClr w14:val="tx1"/>
            </w14:solidFill>
          </w14:textFill>
        </w:rPr>
        <w:t>]</w:t>
      </w:r>
    </w:p>
    <w:p w14:paraId="27F1B805">
      <w:pPr>
        <w:pStyle w:val="3"/>
        <w:numPr>
          <w:ilvl w:val="0"/>
          <w:numId w:val="52"/>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具有履行合同所必需的设备和专业技术能力；（提供书面声明）</w:t>
      </w:r>
    </w:p>
    <w:p w14:paraId="64C3002B">
      <w:pPr>
        <w:pStyle w:val="3"/>
        <w:numPr>
          <w:ilvl w:val="0"/>
          <w:numId w:val="52"/>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参加政府采购活动前3年内在经营活动中没有重大违法记录。（提供书面声明）</w:t>
      </w:r>
    </w:p>
    <w:p w14:paraId="4E91D7B5">
      <w:pPr>
        <w:pStyle w:val="3"/>
        <w:numPr>
          <w:ilvl w:val="0"/>
          <w:numId w:val="52"/>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满足法律、行政法规规定的其他条件；（提供书面声明）</w:t>
      </w:r>
    </w:p>
    <w:p w14:paraId="79AD6DD4">
      <w:pPr>
        <w:pStyle w:val="3"/>
        <w:numPr>
          <w:ilvl w:val="0"/>
          <w:numId w:val="52"/>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投标人须根据投标产品的类别，提供有效的《医疗器械经营许可证》或者其他相关经营许可文件</w:t>
      </w:r>
      <w:r>
        <w:rPr>
          <w:rFonts w:hint="eastAsia"/>
          <w:color w:val="000000" w:themeColor="text1"/>
          <w:highlight w:val="none"/>
          <w:lang w:eastAsia="zh-CN"/>
          <w14:textFill>
            <w14:solidFill>
              <w14:schemeClr w14:val="tx1"/>
            </w14:solidFill>
          </w14:textFill>
        </w:rPr>
        <w:t>（扫描件）</w:t>
      </w:r>
      <w:r>
        <w:rPr>
          <w:rFonts w:hint="eastAsia"/>
          <w:color w:val="000000" w:themeColor="text1"/>
          <w:highlight w:val="none"/>
          <w14:textFill>
            <w14:solidFill>
              <w14:schemeClr w14:val="tx1"/>
            </w14:solidFill>
          </w14:textFill>
        </w:rPr>
        <w:t>；</w:t>
      </w:r>
    </w:p>
    <w:p w14:paraId="434C92AD">
      <w:pPr>
        <w:pStyle w:val="3"/>
        <w:numPr>
          <w:ilvl w:val="0"/>
          <w:numId w:val="52"/>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投标人须提供投标产品的有效期内的《医疗器械注册证》</w:t>
      </w:r>
      <w:r>
        <w:rPr>
          <w:rFonts w:hint="eastAsia"/>
          <w:color w:val="000000" w:themeColor="text1"/>
          <w:highlight w:val="none"/>
          <w:lang w:eastAsia="zh-CN"/>
          <w14:textFill>
            <w14:solidFill>
              <w14:schemeClr w14:val="tx1"/>
            </w14:solidFill>
          </w14:textFill>
        </w:rPr>
        <w:t>（扫描件）</w:t>
      </w:r>
      <w:r>
        <w:rPr>
          <w:rFonts w:hint="eastAsia"/>
          <w:color w:val="000000" w:themeColor="text1"/>
          <w:highlight w:val="none"/>
          <w14:textFill>
            <w14:solidFill>
              <w14:schemeClr w14:val="tx1"/>
            </w14:solidFill>
          </w14:textFill>
        </w:rPr>
        <w:t>；</w:t>
      </w:r>
    </w:p>
    <w:p w14:paraId="529B33AB">
      <w:pPr>
        <w:pStyle w:val="3"/>
        <w:numPr>
          <w:ilvl w:val="0"/>
          <w:numId w:val="52"/>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本项目不接受进口产品投标</w:t>
      </w:r>
      <w:r>
        <w:rPr>
          <w:rFonts w:hint="eastAsia"/>
          <w:color w:val="000000" w:themeColor="text1"/>
          <w:highlight w:val="none"/>
          <w:lang w:eastAsia="zh-CN"/>
          <w14:textFill>
            <w14:solidFill>
              <w14:schemeClr w14:val="tx1"/>
            </w14:solidFill>
          </w14:textFill>
        </w:rPr>
        <w:t>；</w:t>
      </w:r>
    </w:p>
    <w:p w14:paraId="379CB582">
      <w:pPr>
        <w:pStyle w:val="3"/>
        <w:numPr>
          <w:ilvl w:val="0"/>
          <w:numId w:val="52"/>
        </w:numPr>
        <w:tabs>
          <w:tab w:val="left" w:pos="780"/>
          <w:tab w:val="clear" w:pos="210"/>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其他需要提交的资格审查证明材料。</w:t>
      </w:r>
    </w:p>
    <w:p w14:paraId="50A80D39">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（招标文件要求提供的</w:t>
      </w:r>
      <w:r>
        <w:rPr>
          <w:b/>
          <w:color w:val="000000" w:themeColor="text1"/>
          <w:highlight w:val="none"/>
          <w14:textFill>
            <w14:solidFill>
              <w14:schemeClr w14:val="tx1"/>
            </w14:solidFill>
          </w14:textFill>
        </w:rPr>
        <w:t>资格审查证明材料</w:t>
      </w:r>
      <w:r>
        <w:rPr>
          <w:color w:val="000000" w:themeColor="text1"/>
          <w:highlight w:val="none"/>
          <w14:textFill>
            <w14:solidFill>
              <w14:schemeClr w14:val="tx1"/>
            </w14:solidFill>
          </w14:textFill>
        </w:rPr>
        <w:t>中没有对应的接口上传的资料，可以在本部分的其他材料的接口中上传）</w:t>
      </w:r>
    </w:p>
    <w:p w14:paraId="1665FD65">
      <w:pPr>
        <w:pStyle w:val="4"/>
        <w:numPr>
          <w:ilvl w:val="0"/>
          <w:numId w:val="51"/>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商务、技术标</w:t>
      </w:r>
    </w:p>
    <w:p w14:paraId="0CBD1540">
      <w:pPr>
        <w:pStyle w:val="3"/>
        <w:numPr>
          <w:ilvl w:val="0"/>
          <w:numId w:val="53"/>
        </w:numPr>
        <w:tabs>
          <w:tab w:val="left" w:pos="780"/>
          <w:tab w:val="clear" w:pos="210"/>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000000" w:themeColor="text1"/>
          <w:highlight w:val="none"/>
          <w:lang w:eastAsia="zh-CN"/>
          <w14:textFill>
            <w14:solidFill>
              <w14:schemeClr w14:val="tx1"/>
            </w14:solidFill>
          </w14:textFill>
        </w:rPr>
        <w:t>；</w:t>
      </w:r>
    </w:p>
    <w:p w14:paraId="139DCBD7">
      <w:pPr>
        <w:pStyle w:val="3"/>
        <w:numPr>
          <w:ilvl w:val="0"/>
          <w:numId w:val="53"/>
        </w:numPr>
        <w:tabs>
          <w:tab w:val="left" w:pos="780"/>
          <w:tab w:val="clear" w:pos="210"/>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投标函；</w:t>
      </w:r>
      <w:r>
        <w:rPr>
          <w:color w:val="000000" w:themeColor="text1"/>
          <w:highlight w:val="none"/>
          <w14:textFill>
            <w14:solidFill>
              <w14:schemeClr w14:val="tx1"/>
            </w14:solidFill>
          </w14:textFill>
        </w:rPr>
        <w:t>（格式见附件）</w:t>
      </w:r>
    </w:p>
    <w:p w14:paraId="13F76793">
      <w:pPr>
        <w:pStyle w:val="3"/>
        <w:numPr>
          <w:ilvl w:val="0"/>
          <w:numId w:val="53"/>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投标人情况一览表；（格式见附件）</w:t>
      </w:r>
    </w:p>
    <w:p w14:paraId="2A0FC9F8">
      <w:pPr>
        <w:pStyle w:val="3"/>
        <w:numPr>
          <w:ilvl w:val="0"/>
          <w:numId w:val="53"/>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商务部分正负偏离表；（格式见附件）</w:t>
      </w:r>
    </w:p>
    <w:p w14:paraId="100B62D2">
      <w:pPr>
        <w:pStyle w:val="3"/>
        <w:numPr>
          <w:ilvl w:val="0"/>
          <w:numId w:val="53"/>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技术部分正负偏离表；（格式见附件）</w:t>
      </w:r>
    </w:p>
    <w:p w14:paraId="72837B5E">
      <w:pPr>
        <w:pStyle w:val="3"/>
        <w:numPr>
          <w:ilvl w:val="0"/>
          <w:numId w:val="53"/>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商务、技术评分标准中须提供的相关得分佐证材料；（</w:t>
      </w:r>
      <w:r>
        <w:rPr>
          <w:rFonts w:hint="eastAsia"/>
          <w:color w:val="000000" w:themeColor="text1"/>
          <w:highlight w:val="none"/>
          <w14:textFill>
            <w14:solidFill>
              <w14:schemeClr w14:val="tx1"/>
            </w14:solidFill>
          </w14:textFill>
        </w:rPr>
        <w:t>评分方法中技术响应部分要求提供的佐证材料</w:t>
      </w:r>
      <w:r>
        <w:rPr>
          <w:color w:val="000000" w:themeColor="text1"/>
          <w:highlight w:val="none"/>
          <w14:textFill>
            <w14:solidFill>
              <w14:schemeClr w14:val="tx1"/>
            </w14:solidFill>
          </w14:textFill>
        </w:rPr>
        <w:t>、业绩证明等）</w:t>
      </w:r>
    </w:p>
    <w:p w14:paraId="7F2BBB48">
      <w:pPr>
        <w:pStyle w:val="3"/>
        <w:numPr>
          <w:ilvl w:val="0"/>
          <w:numId w:val="53"/>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商务、技术评分标准中须提供其他材料</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方案等</w:t>
      </w:r>
      <w:r>
        <w:rPr>
          <w:color w:val="000000" w:themeColor="text1"/>
          <w:highlight w:val="none"/>
          <w14:textFill>
            <w14:solidFill>
              <w14:schemeClr w14:val="tx1"/>
            </w14:solidFill>
          </w14:textFill>
        </w:rPr>
        <w:t>）</w:t>
      </w:r>
    </w:p>
    <w:p w14:paraId="4C51C2A6">
      <w:pPr>
        <w:pStyle w:val="3"/>
        <w:numPr>
          <w:ilvl w:val="0"/>
          <w:numId w:val="53"/>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投标人认为需要提交的其他商务、技术材料</w:t>
      </w:r>
      <w:r>
        <w:rPr>
          <w:rFonts w:hint="eastAsia"/>
          <w:color w:val="000000" w:themeColor="text1"/>
          <w:highlight w:val="none"/>
          <w:lang w:eastAsia="zh-CN"/>
          <w14:textFill>
            <w14:solidFill>
              <w14:schemeClr w14:val="tx1"/>
            </w14:solidFill>
          </w14:textFill>
        </w:rPr>
        <w:t>。</w:t>
      </w:r>
    </w:p>
    <w:p w14:paraId="1B8ED910">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（招标文件要求提供的</w:t>
      </w:r>
      <w:r>
        <w:rPr>
          <w:b/>
          <w:color w:val="000000" w:themeColor="text1"/>
          <w:highlight w:val="none"/>
          <w14:textFill>
            <w14:solidFill>
              <w14:schemeClr w14:val="tx1"/>
            </w14:solidFill>
          </w14:textFill>
        </w:rPr>
        <w:t>商务、技术标材料</w:t>
      </w:r>
      <w:r>
        <w:rPr>
          <w:color w:val="000000" w:themeColor="text1"/>
          <w:highlight w:val="none"/>
          <w14:textFill>
            <w14:solidFill>
              <w14:schemeClr w14:val="tx1"/>
            </w14:solidFill>
          </w14:textFill>
        </w:rPr>
        <w:t>中没有对应的接口上传的资料，可以在本部分的其他材料的接口中上传）</w:t>
      </w:r>
    </w:p>
    <w:p w14:paraId="48B9618D">
      <w:pPr>
        <w:pStyle w:val="4"/>
        <w:numPr>
          <w:ilvl w:val="0"/>
          <w:numId w:val="51"/>
        </w:numPr>
        <w:tabs>
          <w:tab w:val="left" w:pos="963"/>
        </w:tabs>
        <w:ind w:firstLine="48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价格标</w:t>
      </w:r>
    </w:p>
    <w:p w14:paraId="442B1132">
      <w:pPr>
        <w:pStyle w:val="3"/>
        <w:numPr>
          <w:ilvl w:val="0"/>
          <w:numId w:val="54"/>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开标一览表（格式见附件）</w:t>
      </w:r>
    </w:p>
    <w:p w14:paraId="597AF187">
      <w:pPr>
        <w:pStyle w:val="3"/>
        <w:numPr>
          <w:ilvl w:val="0"/>
          <w:numId w:val="54"/>
        </w:numPr>
        <w:tabs>
          <w:tab w:val="left" w:pos="780"/>
          <w:tab w:val="clear" w:pos="21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分项报价明细表（格式见附件）</w:t>
      </w:r>
    </w:p>
    <w:p w14:paraId="4C3D01CC">
      <w:pPr>
        <w:pStyle w:val="3"/>
        <w:ind w:firstLine="48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（如招标文件要求提供的价格标资料中没有对应的接口上传的资料可以在本部分的其他材料的接口中上传）</w:t>
      </w: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附件1</w:t>
      </w:r>
    </w:p>
    <w:p w14:paraId="696135CE">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参加政府采购活动前 3 年内在经营活动中没有重大违法记录的书面声明</w:t>
      </w:r>
    </w:p>
    <w:p w14:paraId="1D8E5479">
      <w:pPr>
        <w:spacing w:line="460" w:lineRule="exact"/>
        <w:ind w:firstLine="881"/>
        <w:jc w:val="center"/>
        <w:rPr>
          <w:rFonts w:hint="eastAsia" w:ascii="宋体" w:hAnsi="宋体"/>
          <w:b/>
          <w:bCs/>
          <w:color w:val="000000" w:themeColor="text1"/>
          <w:sz w:val="44"/>
          <w:szCs w:val="44"/>
          <w:highlight w:val="none"/>
          <w14:textFill>
            <w14:solidFill>
              <w14:schemeClr w14:val="tx1"/>
            </w14:solidFill>
          </w14:textFill>
        </w:rPr>
      </w:pPr>
    </w:p>
    <w:p w14:paraId="634F06EE">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我公司（本人）郑重声明：参加本次政府采购活动前 3 年内，我公司在经营活动中没有因违法经营受到刑事处罚或者责令停产停业、吊销许可证或者执照、较大数额罚款等行政处罚。</w:t>
      </w:r>
    </w:p>
    <w:p w14:paraId="176F7902">
      <w:pPr>
        <w:spacing w:line="500" w:lineRule="exact"/>
        <w:ind w:firstLine="482"/>
        <w:rPr>
          <w:rFonts w:hint="eastAsia" w:ascii="宋体" w:hAnsi="宋体"/>
          <w:color w:val="000000" w:themeColor="text1"/>
          <w:szCs w:val="21"/>
          <w:highlight w:val="none"/>
          <w14:textFill>
            <w14:solidFill>
              <w14:schemeClr w14:val="tx1"/>
            </w14:solidFill>
          </w14:textFill>
        </w:rPr>
      </w:pPr>
    </w:p>
    <w:p w14:paraId="1AA86290">
      <w:pPr>
        <w:spacing w:line="500" w:lineRule="exact"/>
        <w:ind w:firstLine="482"/>
        <w:rPr>
          <w:rFonts w:hint="eastAsia" w:ascii="宋体" w:hAnsi="宋体"/>
          <w:color w:val="000000" w:themeColor="text1"/>
          <w:szCs w:val="21"/>
          <w:highlight w:val="none"/>
          <w14:textFill>
            <w14:solidFill>
              <w14:schemeClr w14:val="tx1"/>
            </w14:solidFill>
          </w14:textFill>
        </w:rPr>
      </w:pPr>
    </w:p>
    <w:p w14:paraId="3A5379ED">
      <w:pPr>
        <w:spacing w:line="500" w:lineRule="exact"/>
        <w:ind w:firstLine="482"/>
        <w:rPr>
          <w:rFonts w:hint="eastAsia" w:ascii="宋体" w:hAnsi="宋体"/>
          <w:color w:val="000000" w:themeColor="text1"/>
          <w:sz w:val="24"/>
          <w:highlight w:val="none"/>
          <w14:textFill>
            <w14:solidFill>
              <w14:schemeClr w14:val="tx1"/>
            </w14:solidFill>
          </w14:textFill>
        </w:rPr>
      </w:pPr>
    </w:p>
    <w:p w14:paraId="25610FB0">
      <w:pPr>
        <w:spacing w:line="500" w:lineRule="exact"/>
        <w:ind w:firstLine="482"/>
        <w:rPr>
          <w:rFonts w:hint="eastAsia" w:ascii="宋体" w:hAnsi="宋体"/>
          <w:color w:val="000000" w:themeColor="text1"/>
          <w:sz w:val="24"/>
          <w:highlight w:val="none"/>
          <w14:textFill>
            <w14:solidFill>
              <w14:schemeClr w14:val="tx1"/>
            </w14:solidFill>
          </w14:textFill>
        </w:rPr>
      </w:pPr>
    </w:p>
    <w:p w14:paraId="3150F230">
      <w:pPr>
        <w:spacing w:line="500" w:lineRule="exact"/>
        <w:ind w:firstLine="482"/>
        <w:rPr>
          <w:rFonts w:hint="eastAsia" w:ascii="宋体" w:hAnsi="宋体"/>
          <w:color w:val="000000" w:themeColor="text1"/>
          <w:sz w:val="24"/>
          <w:highlight w:val="none"/>
          <w14:textFill>
            <w14:solidFill>
              <w14:schemeClr w14:val="tx1"/>
            </w14:solidFill>
          </w14:textFill>
        </w:rPr>
      </w:pPr>
    </w:p>
    <w:p w14:paraId="3EFF6949">
      <w:pPr>
        <w:spacing w:line="500" w:lineRule="exact"/>
        <w:ind w:firstLine="482"/>
        <w:rPr>
          <w:rFonts w:hint="eastAsia" w:ascii="宋体" w:hAnsi="宋体"/>
          <w:color w:val="000000" w:themeColor="text1"/>
          <w:sz w:val="24"/>
          <w:highlight w:val="none"/>
          <w14:textFill>
            <w14:solidFill>
              <w14:schemeClr w14:val="tx1"/>
            </w14:solidFill>
          </w14:textFill>
        </w:rPr>
      </w:pPr>
    </w:p>
    <w:p w14:paraId="1FE08674">
      <w:pPr>
        <w:spacing w:line="500" w:lineRule="exact"/>
        <w:ind w:firstLine="482"/>
        <w:rPr>
          <w:rFonts w:hint="eastAsia" w:ascii="宋体" w:hAnsi="宋体"/>
          <w:color w:val="000000" w:themeColor="text1"/>
          <w:sz w:val="24"/>
          <w:highlight w:val="none"/>
          <w14:textFill>
            <w14:solidFill>
              <w14:schemeClr w14:val="tx1"/>
            </w14:solidFill>
          </w14:textFill>
        </w:rPr>
      </w:pPr>
    </w:p>
    <w:p w14:paraId="69580125">
      <w:pPr>
        <w:spacing w:line="500" w:lineRule="exact"/>
        <w:rPr>
          <w:rFonts w:hint="eastAsia" w:ascii="宋体" w:hAnsi="宋体"/>
          <w:bCs/>
          <w:color w:val="000000" w:themeColor="text1"/>
          <w:sz w:val="24"/>
          <w:szCs w:val="21"/>
          <w:highlight w:val="none"/>
          <w14:textFill>
            <w14:solidFill>
              <w14:schemeClr w14:val="tx1"/>
            </w14:solidFill>
          </w14:textFill>
        </w:rPr>
      </w:pPr>
    </w:p>
    <w:p w14:paraId="0BC9C05A">
      <w:pPr>
        <w:spacing w:after="120" w:line="360" w:lineRule="auto"/>
        <w:ind w:firstLine="3255"/>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投标人名称（公章）：</w:t>
      </w:r>
    </w:p>
    <w:p w14:paraId="6874773B">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授权代表签字：</w:t>
      </w:r>
      <w:r>
        <w:rPr>
          <w:rFonts w:hint="eastAsia"/>
          <w:bCs/>
          <w:color w:val="000000" w:themeColor="text1"/>
          <w:sz w:val="24"/>
          <w:szCs w:val="21"/>
          <w:highlight w:val="none"/>
          <w:u w:val="single"/>
          <w14:textFill>
            <w14:solidFill>
              <w14:schemeClr w14:val="tx1"/>
            </w14:solidFill>
          </w14:textFill>
        </w:rPr>
        <w:t>_______________________</w:t>
      </w:r>
    </w:p>
    <w:p w14:paraId="71022886">
      <w:pPr>
        <w:spacing w:after="120" w:line="360" w:lineRule="auto"/>
        <w:jc w:val="right"/>
        <w:rPr>
          <w:color w:val="000000" w:themeColor="text1"/>
          <w:sz w:val="24"/>
          <w:szCs w:val="28"/>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日期：</w:t>
      </w:r>
      <w:r>
        <w:rPr>
          <w:rFonts w:hint="eastAsia"/>
          <w:color w:val="000000" w:themeColor="text1"/>
          <w:sz w:val="24"/>
          <w:szCs w:val="28"/>
          <w:highlight w:val="none"/>
          <w14:textFill>
            <w14:solidFill>
              <w14:schemeClr w14:val="tx1"/>
            </w14:solidFill>
          </w14:textFill>
        </w:rPr>
        <w:t>XXXX年XX月XX日</w:t>
      </w:r>
    </w:p>
    <w:p w14:paraId="6A4E7111">
      <w:pPr>
        <w:spacing w:after="120" w:line="360" w:lineRule="auto"/>
        <w:rPr>
          <w:bCs/>
          <w:color w:val="000000" w:themeColor="text1"/>
          <w:sz w:val="24"/>
          <w:szCs w:val="21"/>
          <w:highlight w:val="none"/>
          <w14:textFill>
            <w14:solidFill>
              <w14:schemeClr w14:val="tx1"/>
            </w14:solidFill>
          </w14:textFill>
        </w:rPr>
      </w:pPr>
    </w:p>
    <w:p w14:paraId="31E51CB7">
      <w:pPr>
        <w:spacing w:line="500" w:lineRule="exact"/>
        <w:rPr>
          <w:rFonts w:hint="eastAsia" w:ascii="宋体" w:hAnsi="宋体"/>
          <w:color w:val="000000" w:themeColor="text1"/>
          <w:sz w:val="24"/>
          <w:highlight w:val="none"/>
          <w14:textFill>
            <w14:solidFill>
              <w14:schemeClr w14:val="tx1"/>
            </w14:solidFill>
          </w14:textFill>
        </w:rPr>
      </w:pPr>
    </w:p>
    <w:p w14:paraId="5CE910A4">
      <w:pPr>
        <w:spacing w:line="500" w:lineRule="exact"/>
        <w:rPr>
          <w:rFonts w:hint="eastAsia" w:ascii="宋体" w:hAnsi="宋体"/>
          <w:bCs/>
          <w:color w:val="000000" w:themeColor="text1"/>
          <w:sz w:val="24"/>
          <w:szCs w:val="21"/>
          <w:highlight w:val="none"/>
          <w14:textFill>
            <w14:solidFill>
              <w14:schemeClr w14:val="tx1"/>
            </w14:solidFill>
          </w14:textFill>
        </w:rPr>
      </w:pPr>
    </w:p>
    <w:p w14:paraId="17944845">
      <w:pPr>
        <w:spacing w:line="500" w:lineRule="exact"/>
        <w:rPr>
          <w:rFonts w:hint="eastAsia" w:ascii="宋体" w:hAnsi="宋体"/>
          <w:bCs/>
          <w:color w:val="000000" w:themeColor="text1"/>
          <w:sz w:val="24"/>
          <w:szCs w:val="21"/>
          <w:highlight w:val="none"/>
          <w14:textFill>
            <w14:solidFill>
              <w14:schemeClr w14:val="tx1"/>
            </w14:solidFill>
          </w14:textFill>
        </w:rPr>
      </w:pPr>
    </w:p>
    <w:p w14:paraId="7C26BB8C">
      <w:pPr>
        <w:spacing w:line="500" w:lineRule="exact"/>
        <w:rPr>
          <w:rFonts w:hint="eastAsia" w:ascii="宋体" w:hAnsi="宋体"/>
          <w:bCs/>
          <w:color w:val="000000" w:themeColor="text1"/>
          <w:sz w:val="24"/>
          <w:szCs w:val="21"/>
          <w:highlight w:val="none"/>
          <w14:textFill>
            <w14:solidFill>
              <w14:schemeClr w14:val="tx1"/>
            </w14:solidFill>
          </w14:textFill>
        </w:rPr>
      </w:pPr>
    </w:p>
    <w:p w14:paraId="380746CE">
      <w:pPr>
        <w:spacing w:line="460" w:lineRule="exact"/>
        <w:jc w:val="center"/>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p>
    <w:p w14:paraId="66E583FF">
      <w:pPr>
        <w:pStyle w:val="7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附件2</w:t>
      </w:r>
    </w:p>
    <w:p w14:paraId="63C69C8C">
      <w:pPr>
        <w:pStyle w:val="729"/>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w:t>
      </w:r>
      <w:r>
        <w:rPr>
          <w:rFonts w:hint="eastAsia"/>
          <w:color w:val="000000" w:themeColor="text1"/>
          <w:highlight w:val="none"/>
          <w:lang w:val="en-US" w:eastAsia="zh-CN"/>
          <w14:textFill>
            <w14:solidFill>
              <w14:schemeClr w14:val="tx1"/>
            </w14:solidFill>
          </w14:textFill>
        </w:rPr>
        <w:t>声明函</w:t>
      </w:r>
    </w:p>
    <w:p w14:paraId="140EFCA3">
      <w:pPr>
        <w:widowControl/>
        <w:spacing w:line="360" w:lineRule="auto"/>
        <w:jc w:val="left"/>
        <w:rPr>
          <w:rFonts w:hint="eastAsia" w:ascii="宋体" w:hAnsi="宋体" w:cs="宋体"/>
          <w:color w:val="000000" w:themeColor="text1"/>
          <w:sz w:val="24"/>
          <w:highlight w:val="none"/>
          <w14:textFill>
            <w14:solidFill>
              <w14:schemeClr w14:val="tx1"/>
            </w14:solidFill>
          </w14:textFill>
        </w:rPr>
      </w:pPr>
    </w:p>
    <w:p w14:paraId="797D693C">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lang w:val="zh-CN"/>
          <w14:textFill>
            <w14:solidFill>
              <w14:schemeClr w14:val="tx1"/>
            </w14:solidFill>
          </w14:textFill>
        </w:rPr>
        <w:t xml:space="preserve">                   ：</w:t>
      </w:r>
    </w:p>
    <w:p w14:paraId="4E9CA0D5">
      <w:pPr>
        <w:pStyle w:val="3"/>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我方参加你方的（项目名称）的投标，现我方向你方慎重承诺：</w:t>
      </w:r>
    </w:p>
    <w:p w14:paraId="6A832135">
      <w:pPr>
        <w:pStyle w:val="3"/>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本单位（具备/不具备）履行合同所必需的设备和专业技术能力。</w:t>
      </w:r>
    </w:p>
    <w:p w14:paraId="7FDDAD65">
      <w:pPr>
        <w:spacing w:after="120" w:line="360" w:lineRule="auto"/>
        <w:ind w:right="-512" w:firstLine="3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投标人（盖章）：</w:t>
      </w:r>
    </w:p>
    <w:p w14:paraId="6BE23262">
      <w:pPr>
        <w:tabs>
          <w:tab w:val="left" w:pos="4320"/>
        </w:tabs>
        <w:spacing w:after="120" w:line="360" w:lineRule="auto"/>
        <w:ind w:right="-512" w:firstLine="3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法定代表人或其授权</w:t>
      </w:r>
      <w:r>
        <w:rPr>
          <w:rFonts w:hint="eastAsia"/>
          <w:color w:val="000000" w:themeColor="text1"/>
          <w:sz w:val="24"/>
          <w:highlight w:val="none"/>
          <w14:textFill>
            <w14:solidFill>
              <w14:schemeClr w14:val="tx1"/>
            </w14:solidFill>
          </w14:textFill>
        </w:rPr>
        <w:t>委托</w:t>
      </w:r>
      <w:r>
        <w:rPr>
          <w:color w:val="000000" w:themeColor="text1"/>
          <w:sz w:val="24"/>
          <w:highlight w:val="none"/>
          <w14:textFill>
            <w14:solidFill>
              <w14:schemeClr w14:val="tx1"/>
            </w14:solidFill>
          </w14:textFill>
        </w:rPr>
        <w:t>人</w:t>
      </w:r>
      <w:r>
        <w:rPr>
          <w:rFonts w:hint="eastAsia"/>
          <w:color w:val="000000" w:themeColor="text1"/>
          <w:sz w:val="24"/>
          <w:highlight w:val="none"/>
          <w14:textFill>
            <w14:solidFill>
              <w14:schemeClr w14:val="tx1"/>
            </w14:solidFill>
          </w14:textFill>
        </w:rPr>
        <w:t>（签字或盖章）：</w:t>
      </w:r>
    </w:p>
    <w:p w14:paraId="7969C887">
      <w:pPr>
        <w:spacing w:after="120" w:line="360" w:lineRule="auto"/>
        <w:jc w:val="righ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XXXX年XX月XX日</w:t>
      </w:r>
    </w:p>
    <w:p w14:paraId="26ABECE9">
      <w:pPr>
        <w:spacing w:line="360" w:lineRule="auto"/>
        <w:rPr>
          <w:rFonts w:hint="eastAsia" w:ascii="宋体" w:hAnsi="宋体"/>
          <w:color w:val="000000" w:themeColor="text1"/>
          <w:sz w:val="24"/>
          <w:highlight w:val="none"/>
          <w14:textFill>
            <w14:solidFill>
              <w14:schemeClr w14:val="tx1"/>
            </w14:solidFill>
          </w14:textFill>
        </w:rPr>
      </w:pPr>
    </w:p>
    <w:p w14:paraId="602988D4">
      <w:pPr>
        <w:spacing w:line="400" w:lineRule="exact"/>
        <w:contextualSpacing/>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br w:type="page" w:clear="all"/>
      </w:r>
    </w:p>
    <w:p w14:paraId="0EFBAAFE">
      <w:pPr>
        <w:pStyle w:val="7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附件3</w:t>
      </w:r>
    </w:p>
    <w:p w14:paraId="48F87748">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组织负责人</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身份证明</w:t>
      </w:r>
    </w:p>
    <w:p w14:paraId="02C0F461">
      <w:pPr>
        <w:pStyle w:val="3"/>
        <w:ind w:firstLine="480"/>
        <w:rPr>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先生/女士： 现任我单位</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职务，为</w:t>
      </w:r>
      <w:r>
        <w:rPr>
          <w:color w:val="000000" w:themeColor="text1"/>
          <w:highlight w:val="none"/>
          <w:u w:val="single"/>
          <w14:textFill>
            <w14:solidFill>
              <w14:schemeClr w14:val="tx1"/>
            </w14:solidFill>
          </w14:textFill>
        </w:rPr>
        <w:t>法定代表人</w:t>
      </w:r>
      <w:r>
        <w:rPr>
          <w:rFonts w:hint="eastAsia"/>
          <w:color w:val="000000" w:themeColor="text1"/>
          <w:highlight w:val="none"/>
          <w:u w:val="single"/>
          <w:lang w:val="en-US" w:eastAsia="zh-CN"/>
          <w14:textFill>
            <w14:solidFill>
              <w14:schemeClr w14:val="tx1"/>
            </w14:solidFill>
          </w14:textFill>
        </w:rPr>
        <w:t>/组织负责人（请根据投标人组织性质自行填写）</w:t>
      </w:r>
      <w:r>
        <w:rPr>
          <w:color w:val="000000" w:themeColor="text1"/>
          <w:highlight w:val="none"/>
          <w14:textFill>
            <w14:solidFill>
              <w14:schemeClr w14:val="tx1"/>
            </w14:solidFill>
          </w14:textFill>
        </w:rPr>
        <w:t>，特此证明。</w:t>
      </w:r>
    </w:p>
    <w:p w14:paraId="29A7894D">
      <w:pPr>
        <w:pStyle w:val="3"/>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身份证号码：</w:t>
      </w:r>
      <w:r>
        <w:rPr>
          <w:color w:val="000000" w:themeColor="text1"/>
          <w:highlight w:val="none"/>
          <w:u w:val="single"/>
          <w14:textFill>
            <w14:solidFill>
              <w14:schemeClr w14:val="tx1"/>
            </w14:solidFill>
          </w14:textFill>
        </w:rPr>
        <w:t xml:space="preserve">                                               </w:t>
      </w:r>
    </w:p>
    <w:p w14:paraId="726CD3E0">
      <w:pPr>
        <w:pStyle w:val="3"/>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注：提供法定代表人的身份证复印件盖公章</w:t>
      </w:r>
    </w:p>
    <w:p w14:paraId="7D4D83CD">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p>
    <w:p w14:paraId="24A901BB">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33114963">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3E756205">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1C44AC51">
      <w:pPr>
        <w:spacing w:after="120" w:line="360" w:lineRule="auto"/>
        <w:jc w:val="right"/>
        <w:rPr>
          <w:color w:val="000000" w:themeColor="text1"/>
          <w:sz w:val="24"/>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单位名称（盖章）   </w:t>
      </w:r>
      <w:r>
        <w:rPr>
          <w:rFonts w:hint="eastAsia"/>
          <w:color w:val="000000" w:themeColor="text1"/>
          <w:sz w:val="24"/>
          <w:highlight w:val="none"/>
          <w14:textFill>
            <w14:solidFill>
              <w14:schemeClr w14:val="tx1"/>
            </w14:solidFill>
          </w14:textFill>
        </w:rPr>
        <w:t xml:space="preserve">          </w:t>
      </w:r>
    </w:p>
    <w:p w14:paraId="6F0B404D">
      <w:pPr>
        <w:spacing w:after="120" w:line="360" w:lineRule="auto"/>
        <w:jc w:val="right"/>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XXXX年XX月XX日</w:t>
      </w:r>
    </w:p>
    <w:p w14:paraId="0B205922">
      <w:pPr>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br w:type="page"/>
      </w:r>
    </w:p>
    <w:p w14:paraId="4DAC1CA6">
      <w:pPr>
        <w:spacing w:after="120" w:line="360" w:lineRule="auto"/>
        <w:jc w:val="right"/>
        <w:rPr>
          <w:rFonts w:hint="eastAsia"/>
          <w:color w:val="000000" w:themeColor="text1"/>
          <w:sz w:val="24"/>
          <w:szCs w:val="28"/>
          <w:highlight w:val="none"/>
          <w14:textFill>
            <w14:solidFill>
              <w14:schemeClr w14:val="tx1"/>
            </w14:solidFill>
          </w14:textFill>
        </w:rPr>
      </w:pPr>
    </w:p>
    <w:p w14:paraId="65681709">
      <w:pPr>
        <w:pStyle w:val="72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4</w:t>
      </w:r>
    </w:p>
    <w:p w14:paraId="1F3E8DF8">
      <w:pPr>
        <w:widowControl/>
        <w:spacing w:line="360" w:lineRule="auto"/>
        <w:jc w:val="left"/>
        <w:rPr>
          <w:rFonts w:hint="eastAsia" w:ascii="宋体" w:hAnsi="宋体" w:cs="宋体"/>
          <w:color w:val="000000" w:themeColor="text1"/>
          <w:sz w:val="24"/>
          <w:highlight w:val="none"/>
          <w14:textFill>
            <w14:solidFill>
              <w14:schemeClr w14:val="tx1"/>
            </w14:solidFill>
          </w14:textFill>
        </w:rPr>
      </w:pPr>
    </w:p>
    <w:p w14:paraId="0AFC992F">
      <w:pPr>
        <w:spacing w:line="276" w:lineRule="auto"/>
        <w:jc w:val="center"/>
        <w:rPr>
          <w:rFonts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声明</w:t>
      </w:r>
    </w:p>
    <w:p w14:paraId="7DDC24B4">
      <w:pPr>
        <w:spacing w:line="360" w:lineRule="auto"/>
        <w:rPr>
          <w:rFonts w:hint="eastAsia" w:ascii="宋体" w:hAnsi="宋体" w:cs="宋体"/>
          <w:bCs/>
          <w:color w:val="000000" w:themeColor="text1"/>
          <w:sz w:val="24"/>
          <w:szCs w:val="24"/>
          <w:highlight w:val="none"/>
          <w14:textFill>
            <w14:solidFill>
              <w14:schemeClr w14:val="tx1"/>
            </w14:solidFill>
          </w14:textFill>
        </w:rPr>
      </w:pPr>
    </w:p>
    <w:p w14:paraId="63CAE5C5">
      <w:pPr>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南通大学附属医院</w:t>
      </w:r>
    </w:p>
    <w:p w14:paraId="59B9C6B7">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p>
    <w:p w14:paraId="26043C00">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p>
    <w:p w14:paraId="07E86E72">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我公司郑重声明：</w:t>
      </w:r>
      <w:r>
        <w:rPr>
          <w:rFonts w:hint="eastAsia" w:ascii="宋体" w:hAnsi="宋体" w:cs="宋体"/>
          <w:bCs/>
          <w:color w:val="000000" w:themeColor="text1"/>
          <w:sz w:val="24"/>
          <w:szCs w:val="24"/>
          <w:highlight w:val="none"/>
          <w:lang w:val="en-US" w:eastAsia="zh-CN"/>
          <w14:textFill>
            <w14:solidFill>
              <w14:schemeClr w14:val="tx1"/>
            </w14:solidFill>
          </w14:textFill>
        </w:rPr>
        <w:t>我公司具有</w:t>
      </w:r>
      <w:r>
        <w:rPr>
          <w:rFonts w:hint="eastAsia" w:ascii="宋体" w:hAnsi="宋体" w:cs="宋体"/>
          <w:bCs/>
          <w:color w:val="000000" w:themeColor="text1"/>
          <w:sz w:val="24"/>
          <w:szCs w:val="24"/>
          <w:highlight w:val="none"/>
          <w:u w:val="single"/>
          <w:lang w:val="en-US" w:eastAsia="zh-CN"/>
          <w14:textFill>
            <w14:solidFill>
              <w14:schemeClr w14:val="tx1"/>
            </w14:solidFill>
          </w14:textFill>
        </w:rPr>
        <w:t>（项目名称）</w:t>
      </w:r>
      <w:r>
        <w:rPr>
          <w:rFonts w:hint="eastAsia" w:ascii="宋体" w:hAnsi="宋体" w:cs="宋体"/>
          <w:bCs/>
          <w:color w:val="000000" w:themeColor="text1"/>
          <w:sz w:val="24"/>
          <w:szCs w:val="24"/>
          <w:highlight w:val="none"/>
          <w:lang w:val="en-US" w:eastAsia="zh-CN"/>
          <w14:textFill>
            <w14:solidFill>
              <w14:schemeClr w14:val="tx1"/>
            </w14:solidFill>
          </w14:textFill>
        </w:rPr>
        <w:t>（项目</w:t>
      </w:r>
      <w:r>
        <w:rPr>
          <w:rFonts w:hint="eastAsia" w:ascii="宋体" w:hAnsi="宋体" w:cs="宋体"/>
          <w:bCs/>
          <w:color w:val="000000" w:themeColor="text1"/>
          <w:sz w:val="24"/>
          <w:szCs w:val="24"/>
          <w:highlight w:val="none"/>
          <w14:textFill>
            <w14:solidFill>
              <w14:schemeClr w14:val="tx1"/>
            </w14:solidFill>
          </w14:textFill>
        </w:rPr>
        <w:t>编号</w:t>
      </w:r>
      <w:r>
        <w:rPr>
          <w:rFonts w:hint="eastAsia" w:ascii="宋体" w:hAnsi="宋体" w:cs="宋体"/>
          <w:bCs/>
          <w:color w:val="000000" w:themeColor="text1"/>
          <w:sz w:val="24"/>
          <w:szCs w:val="24"/>
          <w:highlight w:val="none"/>
          <w:lang w:val="en-US" w:eastAsia="zh-CN"/>
          <w14:textFill>
            <w14:solidFill>
              <w14:schemeClr w14:val="tx1"/>
            </w14:solidFill>
          </w14:textFill>
        </w:rPr>
        <w:t>:</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法律、行政法规规定的其他</w:t>
      </w:r>
      <w:r>
        <w:rPr>
          <w:rFonts w:hint="eastAsia" w:ascii="宋体" w:hAnsi="宋体" w:cs="宋体"/>
          <w:bCs/>
          <w:color w:val="000000" w:themeColor="text1"/>
          <w:sz w:val="24"/>
          <w:szCs w:val="24"/>
          <w:highlight w:val="none"/>
          <w:lang w:val="en-US" w:eastAsia="zh-CN"/>
          <w14:textFill>
            <w14:solidFill>
              <w14:schemeClr w14:val="tx1"/>
            </w14:solidFill>
          </w14:textFill>
        </w:rPr>
        <w:t>资格</w:t>
      </w:r>
      <w:r>
        <w:rPr>
          <w:rFonts w:hint="eastAsia" w:ascii="宋体" w:hAnsi="宋体" w:cs="宋体"/>
          <w:bCs/>
          <w:color w:val="000000" w:themeColor="text1"/>
          <w:sz w:val="24"/>
          <w:szCs w:val="24"/>
          <w:highlight w:val="none"/>
          <w14:textFill>
            <w14:solidFill>
              <w14:schemeClr w14:val="tx1"/>
            </w14:solidFill>
          </w14:textFill>
        </w:rPr>
        <w:t>条件。</w:t>
      </w:r>
    </w:p>
    <w:p w14:paraId="766FF8AB">
      <w:pPr>
        <w:spacing w:line="360" w:lineRule="auto"/>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特此声明！</w:t>
      </w:r>
    </w:p>
    <w:p w14:paraId="673053CF">
      <w:pPr>
        <w:spacing w:line="360" w:lineRule="auto"/>
        <w:ind w:firstLine="480"/>
        <w:rPr>
          <w:rFonts w:ascii="宋体" w:hAnsi="宋体" w:cs="宋体"/>
          <w:bCs/>
          <w:color w:val="000000" w:themeColor="text1"/>
          <w:sz w:val="24"/>
          <w:szCs w:val="24"/>
          <w:highlight w:val="none"/>
          <w14:textFill>
            <w14:solidFill>
              <w14:schemeClr w14:val="tx1"/>
            </w14:solidFill>
          </w14:textFill>
        </w:rPr>
      </w:pPr>
    </w:p>
    <w:p w14:paraId="166A083C">
      <w:pPr>
        <w:spacing w:line="360" w:lineRule="auto"/>
        <w:ind w:firstLine="48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投标人名称：</w:t>
      </w:r>
      <w:r>
        <w:rPr>
          <w:rFonts w:hint="eastAsia" w:ascii="宋体" w:hAnsi="宋体" w:cs="宋体"/>
          <w:bCs/>
          <w:color w:val="000000" w:themeColor="text1"/>
          <w:sz w:val="24"/>
          <w:szCs w:val="24"/>
          <w:highlight w:val="none"/>
          <w:u w:val="single"/>
          <w14:textFill>
            <w14:solidFill>
              <w14:schemeClr w14:val="tx1"/>
            </w14:solidFill>
          </w14:textFill>
        </w:rPr>
        <w:t>（</w:t>
      </w:r>
      <w:r>
        <w:rPr>
          <w:rFonts w:hint="eastAsia" w:ascii="宋体" w:hAnsi="宋体" w:cs="宋体"/>
          <w:bCs/>
          <w:color w:val="000000" w:themeColor="text1"/>
          <w:sz w:val="24"/>
          <w:szCs w:val="24"/>
          <w:highlight w:val="none"/>
          <w:u w:val="single"/>
          <w:lang w:val="en-US" w:eastAsia="zh-CN"/>
          <w14:textFill>
            <w14:solidFill>
              <w14:schemeClr w14:val="tx1"/>
            </w14:solidFill>
          </w14:textFill>
        </w:rPr>
        <w:t>盖章</w:t>
      </w:r>
      <w:r>
        <w:rPr>
          <w:rFonts w:hint="eastAsia" w:ascii="宋体" w:hAnsi="宋体" w:cs="宋体"/>
          <w:bCs/>
          <w:color w:val="000000" w:themeColor="text1"/>
          <w:sz w:val="24"/>
          <w:szCs w:val="24"/>
          <w:highlight w:val="none"/>
          <w:u w:val="single"/>
          <w14:textFill>
            <w14:solidFill>
              <w14:schemeClr w14:val="tx1"/>
            </w14:solidFill>
          </w14:textFill>
        </w:rPr>
        <w:t>）</w:t>
      </w:r>
    </w:p>
    <w:p w14:paraId="192C6F16">
      <w:pPr>
        <w:spacing w:line="360" w:lineRule="auto"/>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法定代表人（或授权代表）签字：</w:t>
      </w:r>
    </w:p>
    <w:p w14:paraId="0D0AF283">
      <w:pPr>
        <w:spacing w:line="360" w:lineRule="auto"/>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投标日期：202</w:t>
      </w:r>
      <w:r>
        <w:rPr>
          <w:rFonts w:ascii="宋体" w:hAnsi="宋体" w:cs="宋体"/>
          <w:bCs/>
          <w:color w:val="000000" w:themeColor="text1"/>
          <w:sz w:val="24"/>
          <w:szCs w:val="24"/>
          <w:highlight w:val="none"/>
          <w14:textFill>
            <w14:solidFill>
              <w14:schemeClr w14:val="tx1"/>
            </w14:solidFill>
          </w14:textFill>
        </w:rPr>
        <w:t>5</w:t>
      </w:r>
      <w:r>
        <w:rPr>
          <w:rFonts w:hint="eastAsia" w:ascii="宋体" w:hAnsi="宋体" w:cs="宋体"/>
          <w:bCs/>
          <w:color w:val="000000" w:themeColor="text1"/>
          <w:sz w:val="24"/>
          <w:szCs w:val="24"/>
          <w:highlight w:val="none"/>
          <w14:textFill>
            <w14:solidFill>
              <w14:schemeClr w14:val="tx1"/>
            </w14:solidFill>
          </w14:textFill>
        </w:rPr>
        <w:t>年XX月XX日</w:t>
      </w:r>
    </w:p>
    <w:p w14:paraId="69C4A9A5">
      <w:pPr>
        <w:spacing w:line="400" w:lineRule="exact"/>
        <w:ind w:firstLine="460"/>
        <w:contextualSpacing/>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w:t>
      </w:r>
    </w:p>
    <w:p w14:paraId="386B67D8">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3982CE40">
      <w:pPr>
        <w:pStyle w:val="72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5</w:t>
      </w:r>
    </w:p>
    <w:p w14:paraId="4B91D7B9">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组织负责人</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授权委托书</w:t>
      </w:r>
    </w:p>
    <w:p w14:paraId="1ECC0AF6">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（姓名）系</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授权单位名称）的</w:t>
      </w:r>
      <w:r>
        <w:rPr>
          <w:color w:val="000000" w:themeColor="text1"/>
          <w:highlight w:val="none"/>
          <w:u w:val="single"/>
          <w14:textFill>
            <w14:solidFill>
              <w14:schemeClr w14:val="tx1"/>
            </w14:solidFill>
          </w14:textFill>
        </w:rPr>
        <w:t>法定代表人</w:t>
      </w:r>
      <w:r>
        <w:rPr>
          <w:rFonts w:hint="eastAsia"/>
          <w:color w:val="000000" w:themeColor="text1"/>
          <w:highlight w:val="none"/>
          <w:u w:val="single"/>
          <w:lang w:val="en-US" w:eastAsia="zh-CN"/>
          <w14:textFill>
            <w14:solidFill>
              <w14:schemeClr w14:val="tx1"/>
            </w14:solidFill>
          </w14:textFill>
        </w:rPr>
        <w:t>/组织负责人（请根据投标人组织性质自行填写）</w:t>
      </w:r>
      <w:r>
        <w:rPr>
          <w:color w:val="000000" w:themeColor="text1"/>
          <w:highlight w:val="none"/>
          <w14:textFill>
            <w14:solidFill>
              <w14:schemeClr w14:val="tx1"/>
            </w14:solidFill>
          </w14:textFill>
        </w:rPr>
        <w:t>，现委托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（姓名）（身份证号</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）为我方代理人，以我方名义全权处理与本次采购项目（编号</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）有关的一切事务，其法律后果由我方承担。</w:t>
      </w:r>
    </w:p>
    <w:p w14:paraId="11F2BA33">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日起生效。代理人无转委托权。</w:t>
      </w:r>
    </w:p>
    <w:p w14:paraId="6BE1301A">
      <w:pPr>
        <w:spacing w:after="120" w:line="360" w:lineRule="auto"/>
        <w:ind w:firstLine="42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代理人(被授权人):</w:t>
      </w:r>
      <w:r>
        <w:rPr>
          <w:rFonts w:hint="eastAsia"/>
          <w:color w:val="000000" w:themeColor="text1"/>
          <w:highlight w:val="none"/>
          <w:u w:val="single"/>
          <w:lang w:val="en-US" w:eastAsia="zh-CN"/>
          <w14:textFill>
            <w14:solidFill>
              <w14:schemeClr w14:val="tx1"/>
            </w14:solidFill>
          </w14:textFill>
        </w:rPr>
        <w:t xml:space="preserve">       </w:t>
      </w:r>
    </w:p>
    <w:p w14:paraId="59610FDD">
      <w:pPr>
        <w:spacing w:after="120" w:line="360" w:lineRule="auto"/>
        <w:ind w:firstLine="42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授权单位名称（盖章）：</w:t>
      </w:r>
      <w:r>
        <w:rPr>
          <w:rFonts w:hint="eastAsia"/>
          <w:color w:val="000000" w:themeColor="text1"/>
          <w:highlight w:val="none"/>
          <w:u w:val="single"/>
          <w:lang w:val="en-US" w:eastAsia="zh-CN"/>
          <w14:textFill>
            <w14:solidFill>
              <w14:schemeClr w14:val="tx1"/>
            </w14:solidFill>
          </w14:textFill>
        </w:rPr>
        <w:t xml:space="preserve">      </w:t>
      </w:r>
    </w:p>
    <w:p w14:paraId="61B7F7BD">
      <w:pPr>
        <w:spacing w:after="120" w:line="360" w:lineRule="auto"/>
        <w:ind w:firstLine="42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授权单位法定代表人（签字或盖章）：</w:t>
      </w:r>
      <w:r>
        <w:rPr>
          <w:rFonts w:hint="eastAsia"/>
          <w:color w:val="000000" w:themeColor="text1"/>
          <w:highlight w:val="none"/>
          <w:u w:val="single"/>
          <w:lang w:val="en-US" w:eastAsia="zh-CN"/>
          <w14:textFill>
            <w14:solidFill>
              <w14:schemeClr w14:val="tx1"/>
            </w14:solidFill>
          </w14:textFill>
        </w:rPr>
        <w:t xml:space="preserve">      </w:t>
      </w:r>
    </w:p>
    <w:p w14:paraId="69B2A29D">
      <w:pPr>
        <w:spacing w:after="120" w:line="360" w:lineRule="auto"/>
        <w:jc w:val="righ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XXXX年XX月XX日</w:t>
      </w:r>
    </w:p>
    <w:p w14:paraId="55016063">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481DE23E">
      <w:pPr>
        <w:pStyle w:val="3"/>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注：提供投标代表本人身份证复印件盖公章</w:t>
      </w:r>
    </w:p>
    <w:p w14:paraId="3A42EDA8">
      <w:pPr>
        <w:widowControl/>
        <w:jc w:val="left"/>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br w:type="page" w:clear="all"/>
      </w:r>
    </w:p>
    <w:p w14:paraId="48AF9A6D">
      <w:pPr>
        <w:pStyle w:val="72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6</w:t>
      </w:r>
    </w:p>
    <w:p w14:paraId="6EDE2893">
      <w:pPr>
        <w:pStyle w:val="72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投标函</w:t>
      </w:r>
    </w:p>
    <w:p w14:paraId="791AFE6A">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p>
    <w:p w14:paraId="32B9C556">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致：江苏弘业国际技术工程有限公司</w:t>
      </w:r>
    </w:p>
    <w:p w14:paraId="54F88D8E">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p>
    <w:p w14:paraId="358D0760">
      <w:pPr>
        <w:spacing w:line="276" w:lineRule="auto"/>
        <w:ind w:firstLine="560"/>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根据贵方</w:t>
      </w:r>
      <w:r>
        <w:rPr>
          <w:rFonts w:hint="eastAsia"/>
          <w:i/>
          <w:color w:val="000000" w:themeColor="text1"/>
          <w:sz w:val="24"/>
          <w:szCs w:val="32"/>
          <w:highlight w:val="none"/>
          <w:u w:val="single"/>
          <w14:textFill>
            <w14:solidFill>
              <w14:schemeClr w14:val="tx1"/>
            </w14:solidFill>
          </w14:textFill>
        </w:rPr>
        <w:t>（项目编号：）（项目名称）</w:t>
      </w:r>
      <w:r>
        <w:rPr>
          <w:rFonts w:hint="eastAsia"/>
          <w:color w:val="000000" w:themeColor="text1"/>
          <w:sz w:val="24"/>
          <w:szCs w:val="32"/>
          <w:highlight w:val="none"/>
          <w14:textFill>
            <w14:solidFill>
              <w14:schemeClr w14:val="tx1"/>
            </w14:solidFill>
          </w14:textFill>
        </w:rPr>
        <w:t>项目招标采购货物及服务的</w:t>
      </w:r>
      <w:r>
        <w:rPr>
          <w:rFonts w:hint="eastAsia"/>
          <w:color w:val="000000" w:themeColor="text1"/>
          <w:sz w:val="24"/>
          <w:szCs w:val="32"/>
          <w:highlight w:val="none"/>
          <w:lang w:eastAsia="zh-CN"/>
          <w14:textFill>
            <w14:solidFill>
              <w14:schemeClr w14:val="tx1"/>
            </w14:solidFill>
          </w14:textFill>
        </w:rPr>
        <w:t>招标公告</w:t>
      </w:r>
      <w:r>
        <w:rPr>
          <w:rFonts w:hint="eastAsia"/>
          <w:color w:val="000000" w:themeColor="text1"/>
          <w:sz w:val="24"/>
          <w:szCs w:val="32"/>
          <w:highlight w:val="none"/>
          <w14:textFill>
            <w14:solidFill>
              <w14:schemeClr w14:val="tx1"/>
            </w14:solidFill>
          </w14:textFill>
        </w:rPr>
        <w:t>，投标人代表</w:t>
      </w:r>
      <w:r>
        <w:rPr>
          <w:rFonts w:hint="eastAsia"/>
          <w:i/>
          <w:color w:val="000000" w:themeColor="text1"/>
          <w:sz w:val="24"/>
          <w:szCs w:val="32"/>
          <w:highlight w:val="none"/>
          <w:u w:val="single"/>
          <w14:textFill>
            <w14:solidFill>
              <w14:schemeClr w14:val="tx1"/>
            </w14:solidFill>
          </w14:textFill>
        </w:rPr>
        <w:t>（姓名、职务）</w:t>
      </w:r>
      <w:r>
        <w:rPr>
          <w:rFonts w:hint="eastAsia"/>
          <w:color w:val="000000" w:themeColor="text1"/>
          <w:sz w:val="24"/>
          <w:szCs w:val="32"/>
          <w:highlight w:val="none"/>
          <w14:textFill>
            <w14:solidFill>
              <w14:schemeClr w14:val="tx1"/>
            </w14:solidFill>
          </w14:textFill>
        </w:rPr>
        <w:t>经正式授权并代表投标人</w:t>
      </w:r>
      <w:r>
        <w:rPr>
          <w:rFonts w:hint="eastAsia"/>
          <w:i/>
          <w:color w:val="000000" w:themeColor="text1"/>
          <w:sz w:val="24"/>
          <w:szCs w:val="32"/>
          <w:highlight w:val="none"/>
          <w:u w:val="single"/>
          <w14:textFill>
            <w14:solidFill>
              <w14:schemeClr w14:val="tx1"/>
            </w14:solidFill>
          </w14:textFill>
        </w:rPr>
        <w:t>（投标人名称、地址）</w:t>
      </w:r>
      <w:r>
        <w:rPr>
          <w:rFonts w:hint="eastAsia"/>
          <w:color w:val="000000" w:themeColor="text1"/>
          <w:sz w:val="24"/>
          <w:szCs w:val="32"/>
          <w:highlight w:val="none"/>
          <w14:textFill>
            <w14:solidFill>
              <w14:schemeClr w14:val="tx1"/>
            </w14:solidFill>
          </w14:textFill>
        </w:rPr>
        <w:t>提交投标文件。</w:t>
      </w:r>
    </w:p>
    <w:p w14:paraId="6DC8E58A">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p>
    <w:p w14:paraId="79CB3A31">
      <w:pPr>
        <w:spacing w:line="276" w:lineRule="auto"/>
        <w:ind w:firstLine="560"/>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据此函，签字代表宣布同意如下：</w:t>
      </w:r>
    </w:p>
    <w:p w14:paraId="52F22D5C">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1、所附投标价格表中规定的应提交和交付的货物及服务的投标总价见开标一览表。</w:t>
      </w:r>
    </w:p>
    <w:p w14:paraId="0D843123">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2、投标人将按招标文件的规定履行合同责任和义务。</w:t>
      </w:r>
    </w:p>
    <w:p w14:paraId="1F8A8102">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3、投标人已详细审查全部招标文件，包括有关澄清和修改说明（如果有的话）。我们完全理解并同意放弃对这方面有不明及误解的权力。</w:t>
      </w:r>
    </w:p>
    <w:p w14:paraId="73887217">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4、本投标有效期为自开标日起</w:t>
      </w:r>
      <w:r>
        <w:rPr>
          <w:rFonts w:hint="eastAsia"/>
          <w:color w:val="000000" w:themeColor="text1"/>
          <w:sz w:val="24"/>
          <w:szCs w:val="32"/>
          <w:highlight w:val="none"/>
          <w:u w:val="single"/>
          <w14:textFill>
            <w14:solidFill>
              <w14:schemeClr w14:val="tx1"/>
            </w14:solidFill>
          </w14:textFill>
        </w:rPr>
        <w:t xml:space="preserve"> 90 </w:t>
      </w:r>
      <w:r>
        <w:rPr>
          <w:rFonts w:hint="eastAsia"/>
          <w:color w:val="000000" w:themeColor="text1"/>
          <w:sz w:val="24"/>
          <w:szCs w:val="32"/>
          <w:highlight w:val="none"/>
          <w14:textFill>
            <w14:solidFill>
              <w14:schemeClr w14:val="tx1"/>
            </w14:solidFill>
          </w14:textFill>
        </w:rPr>
        <w:t>日历日。在这期间，本投标文件将始终对我方具有约束力。如果中标，本次招标文件和本投标文件（含承诺书）将作为买卖合用的附件。</w:t>
      </w:r>
    </w:p>
    <w:p w14:paraId="6BA099AA">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5、我方愿意向采购人提供任何与本次招标有关的其他资料。</w:t>
      </w:r>
    </w:p>
    <w:p w14:paraId="694BFE6E">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6、我方愿意履行自己在投标文件中的全部承诺和责任。</w:t>
      </w:r>
    </w:p>
    <w:p w14:paraId="59CD04BB">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7、我方愿意遵守招标文件中对投标者的所有规定。</w:t>
      </w:r>
    </w:p>
    <w:p w14:paraId="15174620">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8、我方承诺不以任何形式向评标委员会成员和参与评标的有关工作人员探听对投标文件的评审和比较、中标候选人的推荐情况以及与评标有关的其他情况。</w:t>
      </w:r>
    </w:p>
    <w:p w14:paraId="178234AA">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9、我方完全理解采购代理机构和采购人有保留在授标之前任何时候接受或拒绝任何投标，以及宣布招标程序无效或拒绝所有投标的权力。我方完全理解采购代理机构和采购人无向未中标人解释未中标理由的义务。</w:t>
      </w:r>
    </w:p>
    <w:p w14:paraId="4F08FAF9">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10、在规定的开标时间后，我方如在投标有效期内撤回投标，将无条件同意贵方没收投标保证金。</w:t>
      </w:r>
    </w:p>
    <w:p w14:paraId="311164A1">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11、我方承诺，与采购人聘请的为此项目提供咨询服务的公司及任何附属机构均无关联，我方不是采购人的附属机构。</w:t>
      </w:r>
    </w:p>
    <w:p w14:paraId="1E7B762B">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12、投标人同意提供按照贵方可能要求的与其投标有关的一切数据或资料，完全理解贵方不一定接受最低价的投标或收到的任何投标。</w:t>
      </w:r>
    </w:p>
    <w:p w14:paraId="6C60A600">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13、其他说明：</w:t>
      </w:r>
    </w:p>
    <w:p w14:paraId="40C7B1B3">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14、与本投标有关的一切正式往来信函请寄：</w:t>
      </w:r>
    </w:p>
    <w:p w14:paraId="6B1E041C">
      <w:pPr>
        <w:spacing w:line="276" w:lineRule="auto"/>
        <w:ind w:firstLine="566"/>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p>
    <w:p w14:paraId="39DDB72C">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地址：</w:t>
      </w:r>
    </w:p>
    <w:p w14:paraId="453A9398">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联系人：</w:t>
      </w:r>
    </w:p>
    <w:p w14:paraId="106DAFD7">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电话：</w:t>
      </w:r>
    </w:p>
    <w:p w14:paraId="1061D230">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电子邮件：</w:t>
      </w:r>
    </w:p>
    <w:p w14:paraId="51B96B8B">
      <w:pPr>
        <w:spacing w:line="276" w:lineRule="auto"/>
        <w:rPr>
          <w:color w:val="000000" w:themeColor="text1"/>
          <w:sz w:val="24"/>
          <w:szCs w:val="32"/>
          <w:highlight w:val="none"/>
          <w14:textFill>
            <w14:solidFill>
              <w14:schemeClr w14:val="tx1"/>
            </w14:solidFill>
          </w14:textFill>
        </w:rPr>
      </w:pPr>
    </w:p>
    <w:p w14:paraId="53D6E48B">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p>
    <w:p w14:paraId="60818E91">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p>
    <w:p w14:paraId="22A52D7C">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p>
    <w:p w14:paraId="346F4D69">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投标人代表（签字）：</w:t>
      </w:r>
    </w:p>
    <w:p w14:paraId="588DC865">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投标人名称（盖章）：</w:t>
      </w:r>
    </w:p>
    <w:p w14:paraId="1988CAE6">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日期：</w:t>
      </w:r>
    </w:p>
    <w:p w14:paraId="2CE52CF1">
      <w:pPr>
        <w:rPr>
          <w:color w:val="000000" w:themeColor="text1"/>
          <w:highlight w:val="none"/>
          <w14:textFill>
            <w14:solidFill>
              <w14:schemeClr w14:val="tx1"/>
            </w14:solidFill>
          </w14:textFill>
        </w:rPr>
      </w:pPr>
    </w:p>
    <w:p w14:paraId="13930763">
      <w:pPr>
        <w:widowControl/>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3A07C696">
      <w:pPr>
        <w:pStyle w:val="72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7</w:t>
      </w:r>
    </w:p>
    <w:p w14:paraId="1E1F0100">
      <w:pPr>
        <w:rPr>
          <w:color w:val="000000" w:themeColor="text1"/>
          <w:highlight w:val="none"/>
          <w14:textFill>
            <w14:solidFill>
              <w14:schemeClr w14:val="tx1"/>
            </w14:solidFill>
          </w14:textFill>
        </w:rPr>
      </w:pPr>
    </w:p>
    <w:p w14:paraId="56CA1F7A">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投标人情况一览表</w:t>
      </w:r>
    </w:p>
    <w:tbl>
      <w:tblPr>
        <w:tblStyle w:val="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5"/>
        <w:gridCol w:w="405"/>
        <w:gridCol w:w="809"/>
        <w:gridCol w:w="349"/>
        <w:gridCol w:w="999"/>
        <w:gridCol w:w="539"/>
        <w:gridCol w:w="900"/>
        <w:gridCol w:w="1200"/>
        <w:gridCol w:w="145"/>
        <w:gridCol w:w="1065"/>
        <w:gridCol w:w="59"/>
        <w:gridCol w:w="1472"/>
      </w:tblGrid>
      <w:tr w14:paraId="08370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677" w:type="pct"/>
            <w:gridSpan w:val="2"/>
            <w:noWrap w:val="0"/>
            <w:vAlign w:val="center"/>
          </w:tcPr>
          <w:p w14:paraId="6E85F416">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单位名称</w:t>
            </w:r>
          </w:p>
        </w:tc>
        <w:tc>
          <w:tcPr>
            <w:tcW w:w="4322" w:type="pct"/>
            <w:gridSpan w:val="10"/>
            <w:noWrap w:val="0"/>
            <w:vAlign w:val="center"/>
          </w:tcPr>
          <w:p w14:paraId="0BFA6624">
            <w:pPr>
              <w:tabs>
                <w:tab w:val="left" w:pos="4320"/>
              </w:tabs>
              <w:rPr>
                <w:rFonts w:hint="eastAsia" w:ascii="宋体" w:hAnsi="宋体"/>
                <w:color w:val="000000" w:themeColor="text1"/>
                <w:sz w:val="24"/>
                <w:highlight w:val="none"/>
                <w14:textFill>
                  <w14:solidFill>
                    <w14:schemeClr w14:val="tx1"/>
                  </w14:solidFill>
                </w14:textFill>
              </w:rPr>
            </w:pPr>
          </w:p>
        </w:tc>
      </w:tr>
      <w:tr w14:paraId="3B6F8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141" w:type="pct"/>
            <w:gridSpan w:val="3"/>
            <w:noWrap w:val="0"/>
            <w:vAlign w:val="center"/>
          </w:tcPr>
          <w:p w14:paraId="7719BB6B">
            <w:pPr>
              <w:tabs>
                <w:tab w:val="left" w:pos="4320"/>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单位优势及特长</w:t>
            </w:r>
          </w:p>
        </w:tc>
        <w:tc>
          <w:tcPr>
            <w:tcW w:w="3858" w:type="pct"/>
            <w:gridSpan w:val="9"/>
            <w:noWrap w:val="0"/>
            <w:vAlign w:val="center"/>
          </w:tcPr>
          <w:p w14:paraId="387E2747">
            <w:pPr>
              <w:tabs>
                <w:tab w:val="left" w:pos="4320"/>
              </w:tabs>
              <w:rPr>
                <w:rFonts w:hint="eastAsia" w:ascii="宋体" w:hAnsi="宋体"/>
                <w:color w:val="000000" w:themeColor="text1"/>
                <w:sz w:val="24"/>
                <w:highlight w:val="none"/>
                <w14:textFill>
                  <w14:solidFill>
                    <w14:schemeClr w14:val="tx1"/>
                  </w14:solidFill>
                </w14:textFill>
              </w:rPr>
            </w:pPr>
          </w:p>
        </w:tc>
      </w:tr>
      <w:tr w14:paraId="08510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restart"/>
            <w:noWrap w:val="0"/>
            <w:vAlign w:val="center"/>
          </w:tcPr>
          <w:p w14:paraId="006409CA">
            <w:pPr>
              <w:tabs>
                <w:tab w:val="left" w:pos="4320"/>
              </w:tabs>
              <w:ind w:left="266" w:hanging="266"/>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w:t>
            </w:r>
          </w:p>
          <w:p w14:paraId="57BBBC4F">
            <w:pPr>
              <w:tabs>
                <w:tab w:val="left" w:pos="4320"/>
              </w:tabs>
              <w:ind w:left="266" w:hanging="266"/>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概况</w:t>
            </w:r>
          </w:p>
        </w:tc>
        <w:tc>
          <w:tcPr>
            <w:tcW w:w="696" w:type="pct"/>
            <w:gridSpan w:val="2"/>
            <w:noWrap w:val="0"/>
            <w:vAlign w:val="center"/>
          </w:tcPr>
          <w:p w14:paraId="38E6E069">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职工总数</w:t>
            </w:r>
          </w:p>
        </w:tc>
        <w:tc>
          <w:tcPr>
            <w:tcW w:w="773" w:type="pct"/>
            <w:gridSpan w:val="2"/>
            <w:noWrap w:val="0"/>
            <w:vAlign w:val="center"/>
          </w:tcPr>
          <w:p w14:paraId="7187669C">
            <w:pPr>
              <w:tabs>
                <w:tab w:val="left" w:pos="4320"/>
              </w:tabs>
              <w:jc w:val="righ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人</w:t>
            </w:r>
          </w:p>
        </w:tc>
        <w:tc>
          <w:tcPr>
            <w:tcW w:w="309" w:type="pct"/>
            <w:vMerge w:val="restart"/>
            <w:noWrap w:val="0"/>
            <w:vAlign w:val="center"/>
          </w:tcPr>
          <w:p w14:paraId="0C7E6518">
            <w:pPr>
              <w:tabs>
                <w:tab w:val="left" w:pos="4320"/>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上一年主要经济指标</w:t>
            </w:r>
          </w:p>
        </w:tc>
        <w:tc>
          <w:tcPr>
            <w:tcW w:w="516" w:type="pct"/>
            <w:noWrap w:val="0"/>
            <w:vAlign w:val="center"/>
          </w:tcPr>
          <w:p w14:paraId="733DDD10">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营业额</w:t>
            </w:r>
          </w:p>
        </w:tc>
        <w:tc>
          <w:tcPr>
            <w:tcW w:w="771" w:type="pct"/>
            <w:gridSpan w:val="2"/>
            <w:noWrap w:val="0"/>
            <w:vAlign w:val="center"/>
          </w:tcPr>
          <w:p w14:paraId="55B6B84C">
            <w:pPr>
              <w:tabs>
                <w:tab w:val="left" w:pos="4320"/>
              </w:tabs>
              <w:rPr>
                <w:rFonts w:hint="eastAsia" w:ascii="宋体" w:hAnsi="宋体"/>
                <w:color w:val="000000" w:themeColor="text1"/>
                <w:sz w:val="24"/>
                <w:highlight w:val="none"/>
                <w14:textFill>
                  <w14:solidFill>
                    <w14:schemeClr w14:val="tx1"/>
                  </w14:solidFill>
                </w14:textFill>
              </w:rPr>
            </w:pPr>
          </w:p>
        </w:tc>
        <w:tc>
          <w:tcPr>
            <w:tcW w:w="645" w:type="pct"/>
            <w:gridSpan w:val="2"/>
            <w:noWrap w:val="0"/>
            <w:vAlign w:val="center"/>
          </w:tcPr>
          <w:p w14:paraId="1AED869F">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实现利润</w:t>
            </w:r>
          </w:p>
        </w:tc>
        <w:tc>
          <w:tcPr>
            <w:tcW w:w="842" w:type="pct"/>
            <w:noWrap w:val="0"/>
            <w:vAlign w:val="center"/>
          </w:tcPr>
          <w:p w14:paraId="132B1E18">
            <w:pPr>
              <w:tabs>
                <w:tab w:val="left" w:pos="4320"/>
              </w:tabs>
              <w:rPr>
                <w:rFonts w:hint="eastAsia" w:ascii="宋体" w:hAnsi="宋体"/>
                <w:color w:val="000000" w:themeColor="text1"/>
                <w:sz w:val="24"/>
                <w:highlight w:val="none"/>
                <w14:textFill>
                  <w14:solidFill>
                    <w14:schemeClr w14:val="tx1"/>
                  </w14:solidFill>
                </w14:textFill>
              </w:rPr>
            </w:pPr>
          </w:p>
        </w:tc>
      </w:tr>
      <w:tr w14:paraId="7DF80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653382E6">
            <w:pPr>
              <w:tabs>
                <w:tab w:val="left" w:pos="4320"/>
              </w:tabs>
              <w:ind w:left="266" w:hanging="266"/>
              <w:rPr>
                <w:rFonts w:hint="eastAsia" w:ascii="宋体" w:hAnsi="宋体"/>
                <w:color w:val="000000" w:themeColor="text1"/>
                <w:sz w:val="24"/>
                <w:highlight w:val="none"/>
                <w14:textFill>
                  <w14:solidFill>
                    <w14:schemeClr w14:val="tx1"/>
                  </w14:solidFill>
                </w14:textFill>
              </w:rPr>
            </w:pPr>
          </w:p>
        </w:tc>
        <w:tc>
          <w:tcPr>
            <w:tcW w:w="696" w:type="pct"/>
            <w:gridSpan w:val="2"/>
            <w:noWrap w:val="0"/>
            <w:vAlign w:val="center"/>
          </w:tcPr>
          <w:p w14:paraId="4FE12D3F">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流动资金</w:t>
            </w:r>
          </w:p>
        </w:tc>
        <w:tc>
          <w:tcPr>
            <w:tcW w:w="773" w:type="pct"/>
            <w:gridSpan w:val="2"/>
            <w:noWrap w:val="0"/>
            <w:vAlign w:val="center"/>
          </w:tcPr>
          <w:p w14:paraId="638D518F">
            <w:pPr>
              <w:tabs>
                <w:tab w:val="left" w:pos="4320"/>
              </w:tabs>
              <w:jc w:val="righ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万元</w:t>
            </w:r>
          </w:p>
        </w:tc>
        <w:tc>
          <w:tcPr>
            <w:tcW w:w="309" w:type="pct"/>
            <w:vMerge w:val="continue"/>
            <w:noWrap w:val="0"/>
            <w:vAlign w:val="center"/>
          </w:tcPr>
          <w:p w14:paraId="1912EF71">
            <w:pPr>
              <w:tabs>
                <w:tab w:val="left" w:pos="4320"/>
              </w:tabs>
              <w:rPr>
                <w:rFonts w:hint="eastAsia" w:ascii="宋体" w:hAnsi="宋体"/>
                <w:color w:val="000000" w:themeColor="text1"/>
                <w:sz w:val="24"/>
                <w:highlight w:val="none"/>
                <w14:textFill>
                  <w14:solidFill>
                    <w14:schemeClr w14:val="tx1"/>
                  </w14:solidFill>
                </w14:textFill>
              </w:rPr>
            </w:pPr>
          </w:p>
        </w:tc>
        <w:tc>
          <w:tcPr>
            <w:tcW w:w="516" w:type="pct"/>
            <w:vMerge w:val="restart"/>
            <w:noWrap w:val="0"/>
            <w:vAlign w:val="center"/>
          </w:tcPr>
          <w:p w14:paraId="793388AF">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主要</w:t>
            </w:r>
          </w:p>
          <w:p w14:paraId="1401F505">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产品</w:t>
            </w:r>
          </w:p>
        </w:tc>
        <w:tc>
          <w:tcPr>
            <w:tcW w:w="2260" w:type="pct"/>
            <w:gridSpan w:val="5"/>
            <w:noWrap w:val="0"/>
            <w:vAlign w:val="center"/>
          </w:tcPr>
          <w:p w14:paraId="4683D7B5">
            <w:pPr>
              <w:tabs>
                <w:tab w:val="left" w:pos="4320"/>
              </w:tabs>
              <w:spacing w:before="120" w:after="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p>
        </w:tc>
      </w:tr>
      <w:tr w14:paraId="6C03D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6" w:hRule="atLeast"/>
        </w:trPr>
        <w:tc>
          <w:tcPr>
            <w:tcW w:w="445" w:type="pct"/>
            <w:vMerge w:val="continue"/>
            <w:noWrap w:val="0"/>
            <w:vAlign w:val="center"/>
          </w:tcPr>
          <w:p w14:paraId="5E9037DB">
            <w:pPr>
              <w:tabs>
                <w:tab w:val="left" w:pos="4320"/>
              </w:tabs>
              <w:ind w:left="266" w:hanging="266"/>
              <w:rPr>
                <w:rFonts w:hint="eastAsia" w:ascii="宋体" w:hAnsi="宋体"/>
                <w:color w:val="000000" w:themeColor="text1"/>
                <w:sz w:val="24"/>
                <w:highlight w:val="none"/>
                <w14:textFill>
                  <w14:solidFill>
                    <w14:schemeClr w14:val="tx1"/>
                  </w14:solidFill>
                </w14:textFill>
              </w:rPr>
            </w:pPr>
          </w:p>
        </w:tc>
        <w:tc>
          <w:tcPr>
            <w:tcW w:w="696" w:type="pct"/>
            <w:gridSpan w:val="2"/>
            <w:noWrap w:val="0"/>
            <w:vAlign w:val="center"/>
          </w:tcPr>
          <w:p w14:paraId="3BD5D5E2">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固定资产</w:t>
            </w:r>
          </w:p>
          <w:p w14:paraId="22B04D48">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（万元）</w:t>
            </w:r>
          </w:p>
        </w:tc>
        <w:tc>
          <w:tcPr>
            <w:tcW w:w="773" w:type="pct"/>
            <w:gridSpan w:val="2"/>
            <w:noWrap w:val="0"/>
            <w:vAlign w:val="center"/>
          </w:tcPr>
          <w:p w14:paraId="0362DCF4">
            <w:pPr>
              <w:tabs>
                <w:tab w:val="left" w:pos="-48"/>
                <w:tab w:val="left" w:pos="4320"/>
              </w:tabs>
              <w:ind w:right="-133" w:hanging="48"/>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原值：</w:t>
            </w:r>
          </w:p>
          <w:p w14:paraId="58ADCCF5">
            <w:pPr>
              <w:tabs>
                <w:tab w:val="left" w:pos="-48"/>
                <w:tab w:val="left" w:pos="4320"/>
              </w:tabs>
              <w:ind w:hanging="48"/>
              <w:jc w:val="right"/>
              <w:rPr>
                <w:rFonts w:hint="eastAsia" w:ascii="宋体" w:hAnsi="宋体"/>
                <w:color w:val="000000" w:themeColor="text1"/>
                <w:sz w:val="24"/>
                <w:highlight w:val="none"/>
                <w14:textFill>
                  <w14:solidFill>
                    <w14:schemeClr w14:val="tx1"/>
                  </w14:solidFill>
                </w14:textFill>
              </w:rPr>
            </w:pPr>
          </w:p>
          <w:p w14:paraId="6ED53AF9">
            <w:pPr>
              <w:tabs>
                <w:tab w:val="left" w:pos="-48"/>
                <w:tab w:val="left" w:pos="4320"/>
              </w:tabs>
              <w:ind w:right="-133" w:hanging="48"/>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净值：</w:t>
            </w:r>
          </w:p>
          <w:p w14:paraId="3A1039D0">
            <w:pPr>
              <w:tabs>
                <w:tab w:val="left" w:pos="-48"/>
                <w:tab w:val="left" w:pos="4320"/>
              </w:tabs>
              <w:ind w:hanging="48"/>
              <w:jc w:val="right"/>
              <w:rPr>
                <w:rFonts w:hint="eastAsia" w:ascii="宋体" w:hAnsi="宋体"/>
                <w:color w:val="000000" w:themeColor="text1"/>
                <w:sz w:val="24"/>
                <w:highlight w:val="none"/>
                <w14:textFill>
                  <w14:solidFill>
                    <w14:schemeClr w14:val="tx1"/>
                  </w14:solidFill>
                </w14:textFill>
              </w:rPr>
            </w:pPr>
          </w:p>
        </w:tc>
        <w:tc>
          <w:tcPr>
            <w:tcW w:w="309" w:type="pct"/>
            <w:vMerge w:val="continue"/>
            <w:noWrap w:val="0"/>
            <w:vAlign w:val="center"/>
          </w:tcPr>
          <w:p w14:paraId="17188ADB">
            <w:pPr>
              <w:tabs>
                <w:tab w:val="left" w:pos="4320"/>
              </w:tabs>
              <w:rPr>
                <w:rFonts w:hint="eastAsia" w:ascii="宋体" w:hAnsi="宋体"/>
                <w:color w:val="000000" w:themeColor="text1"/>
                <w:sz w:val="24"/>
                <w:highlight w:val="none"/>
                <w14:textFill>
                  <w14:solidFill>
                    <w14:schemeClr w14:val="tx1"/>
                  </w14:solidFill>
                </w14:textFill>
              </w:rPr>
            </w:pPr>
          </w:p>
        </w:tc>
        <w:tc>
          <w:tcPr>
            <w:tcW w:w="516" w:type="pct"/>
            <w:vMerge w:val="continue"/>
            <w:noWrap w:val="0"/>
            <w:vAlign w:val="center"/>
          </w:tcPr>
          <w:p w14:paraId="76B9DE4B">
            <w:pPr>
              <w:tabs>
                <w:tab w:val="left" w:pos="4320"/>
              </w:tabs>
              <w:jc w:val="center"/>
              <w:rPr>
                <w:rFonts w:hint="eastAsia" w:ascii="宋体" w:hAnsi="宋体"/>
                <w:color w:val="000000" w:themeColor="text1"/>
                <w:sz w:val="24"/>
                <w:highlight w:val="none"/>
                <w14:textFill>
                  <w14:solidFill>
                    <w14:schemeClr w14:val="tx1"/>
                  </w14:solidFill>
                </w14:textFill>
              </w:rPr>
            </w:pPr>
          </w:p>
        </w:tc>
        <w:tc>
          <w:tcPr>
            <w:tcW w:w="2260" w:type="pct"/>
            <w:gridSpan w:val="5"/>
            <w:noWrap w:val="0"/>
            <w:vAlign w:val="center"/>
          </w:tcPr>
          <w:p w14:paraId="7CE6B579">
            <w:pPr>
              <w:tabs>
                <w:tab w:val="left" w:pos="4320"/>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p>
        </w:tc>
      </w:tr>
      <w:tr w14:paraId="1A914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2D01B689">
            <w:pPr>
              <w:tabs>
                <w:tab w:val="left" w:pos="4320"/>
              </w:tabs>
              <w:ind w:left="266" w:hanging="266"/>
              <w:rPr>
                <w:rFonts w:hint="eastAsia" w:ascii="宋体" w:hAnsi="宋体"/>
                <w:color w:val="000000" w:themeColor="text1"/>
                <w:sz w:val="24"/>
                <w:highlight w:val="none"/>
                <w14:textFill>
                  <w14:solidFill>
                    <w14:schemeClr w14:val="tx1"/>
                  </w14:solidFill>
                </w14:textFill>
              </w:rPr>
            </w:pPr>
          </w:p>
        </w:tc>
        <w:tc>
          <w:tcPr>
            <w:tcW w:w="696" w:type="pct"/>
            <w:gridSpan w:val="2"/>
            <w:noWrap w:val="0"/>
            <w:vAlign w:val="center"/>
          </w:tcPr>
          <w:p w14:paraId="29DA9AFB">
            <w:pPr>
              <w:tabs>
                <w:tab w:val="left" w:pos="4320"/>
              </w:tabs>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占地面积</w:t>
            </w:r>
          </w:p>
        </w:tc>
        <w:tc>
          <w:tcPr>
            <w:tcW w:w="773" w:type="pct"/>
            <w:gridSpan w:val="2"/>
            <w:noWrap w:val="0"/>
            <w:vAlign w:val="center"/>
          </w:tcPr>
          <w:p w14:paraId="53E641CE">
            <w:pPr>
              <w:tabs>
                <w:tab w:val="left" w:pos="4320"/>
              </w:tabs>
              <w:jc w:val="righ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M</w:t>
            </w:r>
            <w:r>
              <w:rPr>
                <w:rFonts w:hint="eastAsia" w:ascii="宋体" w:hAnsi="宋体"/>
                <w:color w:val="000000" w:themeColor="text1"/>
                <w:sz w:val="24"/>
                <w:highlight w:val="none"/>
                <w:vertAlign w:val="superscript"/>
                <w14:textFill>
                  <w14:solidFill>
                    <w14:schemeClr w14:val="tx1"/>
                  </w14:solidFill>
                </w14:textFill>
              </w:rPr>
              <w:t>2</w:t>
            </w:r>
          </w:p>
        </w:tc>
        <w:tc>
          <w:tcPr>
            <w:tcW w:w="309" w:type="pct"/>
            <w:vMerge w:val="continue"/>
            <w:noWrap w:val="0"/>
            <w:vAlign w:val="center"/>
          </w:tcPr>
          <w:p w14:paraId="360C86CF">
            <w:pPr>
              <w:tabs>
                <w:tab w:val="left" w:pos="4320"/>
              </w:tabs>
              <w:rPr>
                <w:rFonts w:hint="eastAsia" w:ascii="宋体" w:hAnsi="宋体"/>
                <w:color w:val="000000" w:themeColor="text1"/>
                <w:sz w:val="24"/>
                <w:highlight w:val="none"/>
                <w14:textFill>
                  <w14:solidFill>
                    <w14:schemeClr w14:val="tx1"/>
                  </w14:solidFill>
                </w14:textFill>
              </w:rPr>
            </w:pPr>
          </w:p>
        </w:tc>
        <w:tc>
          <w:tcPr>
            <w:tcW w:w="516" w:type="pct"/>
            <w:vMerge w:val="continue"/>
            <w:noWrap w:val="0"/>
            <w:vAlign w:val="center"/>
          </w:tcPr>
          <w:p w14:paraId="57F48788">
            <w:pPr>
              <w:tabs>
                <w:tab w:val="left" w:pos="4320"/>
              </w:tabs>
              <w:jc w:val="center"/>
              <w:rPr>
                <w:rFonts w:hint="eastAsia" w:ascii="宋体" w:hAnsi="宋体"/>
                <w:color w:val="000000" w:themeColor="text1"/>
                <w:sz w:val="24"/>
                <w:highlight w:val="none"/>
                <w14:textFill>
                  <w14:solidFill>
                    <w14:schemeClr w14:val="tx1"/>
                  </w14:solidFill>
                </w14:textFill>
              </w:rPr>
            </w:pPr>
          </w:p>
        </w:tc>
        <w:tc>
          <w:tcPr>
            <w:tcW w:w="2260" w:type="pct"/>
            <w:gridSpan w:val="5"/>
            <w:noWrap w:val="0"/>
            <w:vAlign w:val="center"/>
          </w:tcPr>
          <w:p w14:paraId="20716264">
            <w:pPr>
              <w:tabs>
                <w:tab w:val="left" w:pos="4320"/>
              </w:tabs>
              <w:spacing w:before="120" w:after="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p>
        </w:tc>
      </w:tr>
      <w:tr w14:paraId="5086F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restart"/>
            <w:noWrap w:val="0"/>
            <w:vAlign w:val="center"/>
          </w:tcPr>
          <w:p w14:paraId="7BD948F3">
            <w:pPr>
              <w:tabs>
                <w:tab w:val="left" w:pos="4320"/>
              </w:tabs>
              <w:ind w:left="266" w:hanging="266"/>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本次</w:t>
            </w:r>
          </w:p>
          <w:p w14:paraId="56A06F0D">
            <w:pPr>
              <w:tabs>
                <w:tab w:val="left" w:pos="4320"/>
              </w:tabs>
              <w:ind w:left="266" w:hanging="266"/>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w:t>
            </w:r>
          </w:p>
          <w:p w14:paraId="548DBFBC">
            <w:pPr>
              <w:tabs>
                <w:tab w:val="left" w:pos="4320"/>
              </w:tabs>
              <w:ind w:left="266" w:hanging="266"/>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产品</w:t>
            </w:r>
          </w:p>
          <w:p w14:paraId="16403064">
            <w:pPr>
              <w:tabs>
                <w:tab w:val="left" w:pos="4320"/>
              </w:tabs>
              <w:ind w:left="266" w:hanging="266"/>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情况</w:t>
            </w:r>
          </w:p>
        </w:tc>
        <w:tc>
          <w:tcPr>
            <w:tcW w:w="896" w:type="pct"/>
            <w:gridSpan w:val="3"/>
            <w:noWrap w:val="0"/>
            <w:vAlign w:val="center"/>
          </w:tcPr>
          <w:p w14:paraId="26EEC2CA">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本次投标</w:t>
            </w:r>
          </w:p>
          <w:p w14:paraId="1056029E">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产品名称</w:t>
            </w:r>
          </w:p>
        </w:tc>
        <w:tc>
          <w:tcPr>
            <w:tcW w:w="881" w:type="pct"/>
            <w:gridSpan w:val="2"/>
            <w:noWrap w:val="0"/>
            <w:vAlign w:val="center"/>
          </w:tcPr>
          <w:p w14:paraId="485F0150">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型    号</w:t>
            </w:r>
          </w:p>
        </w:tc>
        <w:tc>
          <w:tcPr>
            <w:tcW w:w="516" w:type="pct"/>
            <w:noWrap w:val="0"/>
            <w:vAlign w:val="center"/>
          </w:tcPr>
          <w:p w14:paraId="65A1E8B6">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上年</w:t>
            </w:r>
          </w:p>
          <w:p w14:paraId="697B1A47">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产销量</w:t>
            </w:r>
          </w:p>
        </w:tc>
        <w:tc>
          <w:tcPr>
            <w:tcW w:w="688" w:type="pct"/>
            <w:noWrap w:val="0"/>
            <w:vAlign w:val="center"/>
          </w:tcPr>
          <w:p w14:paraId="0F8C7419">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产品技术</w:t>
            </w:r>
          </w:p>
          <w:p w14:paraId="44D8AAA3">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先进水平</w:t>
            </w:r>
          </w:p>
        </w:tc>
        <w:tc>
          <w:tcPr>
            <w:tcW w:w="694" w:type="pct"/>
            <w:gridSpan w:val="2"/>
            <w:noWrap w:val="0"/>
            <w:vAlign w:val="center"/>
          </w:tcPr>
          <w:p w14:paraId="442FD539">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曾获何级</w:t>
            </w:r>
          </w:p>
          <w:p w14:paraId="26BADD0A">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何种奖励</w:t>
            </w:r>
          </w:p>
        </w:tc>
        <w:tc>
          <w:tcPr>
            <w:tcW w:w="876" w:type="pct"/>
            <w:gridSpan w:val="2"/>
            <w:noWrap w:val="0"/>
            <w:vAlign w:val="center"/>
          </w:tcPr>
          <w:p w14:paraId="6A883483">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主要用户</w:t>
            </w:r>
          </w:p>
          <w:p w14:paraId="4DF0CF1B">
            <w:pPr>
              <w:tabs>
                <w:tab w:val="left" w:pos="4320"/>
              </w:tabs>
              <w:spacing w:before="60" w:after="6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名称</w:t>
            </w:r>
          </w:p>
        </w:tc>
      </w:tr>
      <w:tr w14:paraId="6F046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585CD18C">
            <w:pPr>
              <w:tabs>
                <w:tab w:val="left" w:pos="4320"/>
              </w:tabs>
              <w:rPr>
                <w:rFonts w:hint="eastAsia" w:ascii="宋体" w:hAnsi="宋体"/>
                <w:color w:val="000000" w:themeColor="text1"/>
                <w:sz w:val="24"/>
                <w:highlight w:val="none"/>
                <w14:textFill>
                  <w14:solidFill>
                    <w14:schemeClr w14:val="tx1"/>
                  </w14:solidFill>
                </w14:textFill>
              </w:rPr>
            </w:pPr>
          </w:p>
        </w:tc>
        <w:tc>
          <w:tcPr>
            <w:tcW w:w="896" w:type="pct"/>
            <w:gridSpan w:val="3"/>
            <w:noWrap w:val="0"/>
            <w:vAlign w:val="center"/>
          </w:tcPr>
          <w:p w14:paraId="23366808">
            <w:pPr>
              <w:tabs>
                <w:tab w:val="left" w:pos="4320"/>
              </w:tabs>
              <w:rPr>
                <w:rFonts w:hint="eastAsia" w:ascii="宋体" w:hAnsi="宋体"/>
                <w:color w:val="000000" w:themeColor="text1"/>
                <w:sz w:val="24"/>
                <w:highlight w:val="none"/>
                <w14:textFill>
                  <w14:solidFill>
                    <w14:schemeClr w14:val="tx1"/>
                  </w14:solidFill>
                </w14:textFill>
              </w:rPr>
            </w:pPr>
          </w:p>
        </w:tc>
        <w:tc>
          <w:tcPr>
            <w:tcW w:w="881" w:type="pct"/>
            <w:gridSpan w:val="2"/>
            <w:noWrap w:val="0"/>
            <w:vAlign w:val="center"/>
          </w:tcPr>
          <w:p w14:paraId="672A6F82">
            <w:pPr>
              <w:tabs>
                <w:tab w:val="left" w:pos="4320"/>
              </w:tabs>
              <w:rPr>
                <w:rFonts w:hint="eastAsia" w:ascii="宋体" w:hAnsi="宋体"/>
                <w:color w:val="000000" w:themeColor="text1"/>
                <w:sz w:val="24"/>
                <w:highlight w:val="none"/>
                <w14:textFill>
                  <w14:solidFill>
                    <w14:schemeClr w14:val="tx1"/>
                  </w14:solidFill>
                </w14:textFill>
              </w:rPr>
            </w:pPr>
          </w:p>
        </w:tc>
        <w:tc>
          <w:tcPr>
            <w:tcW w:w="516" w:type="pct"/>
            <w:noWrap w:val="0"/>
            <w:vAlign w:val="center"/>
          </w:tcPr>
          <w:p w14:paraId="20514ED9">
            <w:pPr>
              <w:tabs>
                <w:tab w:val="left" w:pos="4320"/>
              </w:tabs>
              <w:rPr>
                <w:rFonts w:hint="eastAsia" w:ascii="宋体" w:hAnsi="宋体"/>
                <w:color w:val="000000" w:themeColor="text1"/>
                <w:sz w:val="24"/>
                <w:highlight w:val="none"/>
                <w14:textFill>
                  <w14:solidFill>
                    <w14:schemeClr w14:val="tx1"/>
                  </w14:solidFill>
                </w14:textFill>
              </w:rPr>
            </w:pPr>
          </w:p>
        </w:tc>
        <w:tc>
          <w:tcPr>
            <w:tcW w:w="688" w:type="pct"/>
            <w:noWrap w:val="0"/>
            <w:vAlign w:val="center"/>
          </w:tcPr>
          <w:p w14:paraId="1F6CAB6E">
            <w:pPr>
              <w:tabs>
                <w:tab w:val="left" w:pos="4320"/>
              </w:tabs>
              <w:rPr>
                <w:rFonts w:hint="eastAsia" w:ascii="宋体" w:hAnsi="宋体"/>
                <w:color w:val="000000" w:themeColor="text1"/>
                <w:sz w:val="24"/>
                <w:highlight w:val="none"/>
                <w14:textFill>
                  <w14:solidFill>
                    <w14:schemeClr w14:val="tx1"/>
                  </w14:solidFill>
                </w14:textFill>
              </w:rPr>
            </w:pPr>
          </w:p>
        </w:tc>
        <w:tc>
          <w:tcPr>
            <w:tcW w:w="694" w:type="pct"/>
            <w:gridSpan w:val="2"/>
            <w:noWrap w:val="0"/>
            <w:vAlign w:val="center"/>
          </w:tcPr>
          <w:p w14:paraId="69125A4D">
            <w:pPr>
              <w:tabs>
                <w:tab w:val="left" w:pos="4320"/>
              </w:tabs>
              <w:rPr>
                <w:rFonts w:hint="eastAsia" w:ascii="宋体" w:hAnsi="宋体"/>
                <w:color w:val="000000" w:themeColor="text1"/>
                <w:sz w:val="24"/>
                <w:highlight w:val="none"/>
                <w14:textFill>
                  <w14:solidFill>
                    <w14:schemeClr w14:val="tx1"/>
                  </w14:solidFill>
                </w14:textFill>
              </w:rPr>
            </w:pPr>
          </w:p>
        </w:tc>
        <w:tc>
          <w:tcPr>
            <w:tcW w:w="876" w:type="pct"/>
            <w:gridSpan w:val="2"/>
            <w:noWrap w:val="0"/>
            <w:vAlign w:val="center"/>
          </w:tcPr>
          <w:p w14:paraId="3F086D3C">
            <w:pPr>
              <w:tabs>
                <w:tab w:val="left" w:pos="4320"/>
              </w:tabs>
              <w:rPr>
                <w:rFonts w:hint="eastAsia" w:ascii="宋体" w:hAnsi="宋体"/>
                <w:color w:val="000000" w:themeColor="text1"/>
                <w:sz w:val="24"/>
                <w:highlight w:val="none"/>
                <w14:textFill>
                  <w14:solidFill>
                    <w14:schemeClr w14:val="tx1"/>
                  </w14:solidFill>
                </w14:textFill>
              </w:rPr>
            </w:pPr>
          </w:p>
        </w:tc>
      </w:tr>
      <w:tr w14:paraId="334B4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35600ECA">
            <w:pPr>
              <w:tabs>
                <w:tab w:val="left" w:pos="4320"/>
              </w:tabs>
              <w:rPr>
                <w:rFonts w:hint="eastAsia" w:ascii="宋体" w:hAnsi="宋体"/>
                <w:color w:val="000000" w:themeColor="text1"/>
                <w:sz w:val="24"/>
                <w:highlight w:val="none"/>
                <w14:textFill>
                  <w14:solidFill>
                    <w14:schemeClr w14:val="tx1"/>
                  </w14:solidFill>
                </w14:textFill>
              </w:rPr>
            </w:pPr>
          </w:p>
        </w:tc>
        <w:tc>
          <w:tcPr>
            <w:tcW w:w="896" w:type="pct"/>
            <w:gridSpan w:val="3"/>
            <w:noWrap w:val="0"/>
            <w:vAlign w:val="center"/>
          </w:tcPr>
          <w:p w14:paraId="64D7FF07">
            <w:pPr>
              <w:tabs>
                <w:tab w:val="left" w:pos="4320"/>
              </w:tabs>
              <w:rPr>
                <w:rFonts w:hint="eastAsia" w:ascii="宋体" w:hAnsi="宋体"/>
                <w:color w:val="000000" w:themeColor="text1"/>
                <w:sz w:val="24"/>
                <w:highlight w:val="none"/>
                <w14:textFill>
                  <w14:solidFill>
                    <w14:schemeClr w14:val="tx1"/>
                  </w14:solidFill>
                </w14:textFill>
              </w:rPr>
            </w:pPr>
          </w:p>
        </w:tc>
        <w:tc>
          <w:tcPr>
            <w:tcW w:w="881" w:type="pct"/>
            <w:gridSpan w:val="2"/>
            <w:noWrap w:val="0"/>
            <w:vAlign w:val="center"/>
          </w:tcPr>
          <w:p w14:paraId="546CA5CD">
            <w:pPr>
              <w:tabs>
                <w:tab w:val="left" w:pos="4320"/>
              </w:tabs>
              <w:rPr>
                <w:rFonts w:hint="eastAsia" w:ascii="宋体" w:hAnsi="宋体"/>
                <w:color w:val="000000" w:themeColor="text1"/>
                <w:sz w:val="24"/>
                <w:highlight w:val="none"/>
                <w14:textFill>
                  <w14:solidFill>
                    <w14:schemeClr w14:val="tx1"/>
                  </w14:solidFill>
                </w14:textFill>
              </w:rPr>
            </w:pPr>
          </w:p>
        </w:tc>
        <w:tc>
          <w:tcPr>
            <w:tcW w:w="516" w:type="pct"/>
            <w:noWrap w:val="0"/>
            <w:vAlign w:val="center"/>
          </w:tcPr>
          <w:p w14:paraId="2A953D9C">
            <w:pPr>
              <w:tabs>
                <w:tab w:val="left" w:pos="4320"/>
              </w:tabs>
              <w:rPr>
                <w:rFonts w:hint="eastAsia" w:ascii="宋体" w:hAnsi="宋体"/>
                <w:color w:val="000000" w:themeColor="text1"/>
                <w:sz w:val="24"/>
                <w:highlight w:val="none"/>
                <w14:textFill>
                  <w14:solidFill>
                    <w14:schemeClr w14:val="tx1"/>
                  </w14:solidFill>
                </w14:textFill>
              </w:rPr>
            </w:pPr>
          </w:p>
        </w:tc>
        <w:tc>
          <w:tcPr>
            <w:tcW w:w="688" w:type="pct"/>
            <w:noWrap w:val="0"/>
            <w:vAlign w:val="center"/>
          </w:tcPr>
          <w:p w14:paraId="766AAD31">
            <w:pPr>
              <w:tabs>
                <w:tab w:val="left" w:pos="4320"/>
              </w:tabs>
              <w:rPr>
                <w:rFonts w:hint="eastAsia" w:ascii="宋体" w:hAnsi="宋体"/>
                <w:color w:val="000000" w:themeColor="text1"/>
                <w:sz w:val="24"/>
                <w:highlight w:val="none"/>
                <w14:textFill>
                  <w14:solidFill>
                    <w14:schemeClr w14:val="tx1"/>
                  </w14:solidFill>
                </w14:textFill>
              </w:rPr>
            </w:pPr>
          </w:p>
        </w:tc>
        <w:tc>
          <w:tcPr>
            <w:tcW w:w="694" w:type="pct"/>
            <w:gridSpan w:val="2"/>
            <w:noWrap w:val="0"/>
            <w:vAlign w:val="center"/>
          </w:tcPr>
          <w:p w14:paraId="08112074">
            <w:pPr>
              <w:tabs>
                <w:tab w:val="left" w:pos="4320"/>
              </w:tabs>
              <w:rPr>
                <w:rFonts w:hint="eastAsia" w:ascii="宋体" w:hAnsi="宋体"/>
                <w:color w:val="000000" w:themeColor="text1"/>
                <w:sz w:val="24"/>
                <w:highlight w:val="none"/>
                <w14:textFill>
                  <w14:solidFill>
                    <w14:schemeClr w14:val="tx1"/>
                  </w14:solidFill>
                </w14:textFill>
              </w:rPr>
            </w:pPr>
          </w:p>
        </w:tc>
        <w:tc>
          <w:tcPr>
            <w:tcW w:w="876" w:type="pct"/>
            <w:gridSpan w:val="2"/>
            <w:noWrap w:val="0"/>
            <w:vAlign w:val="center"/>
          </w:tcPr>
          <w:p w14:paraId="612F0A3C">
            <w:pPr>
              <w:tabs>
                <w:tab w:val="left" w:pos="4320"/>
              </w:tabs>
              <w:rPr>
                <w:rFonts w:hint="eastAsia" w:ascii="宋体" w:hAnsi="宋体"/>
                <w:color w:val="000000" w:themeColor="text1"/>
                <w:sz w:val="24"/>
                <w:highlight w:val="none"/>
                <w14:textFill>
                  <w14:solidFill>
                    <w14:schemeClr w14:val="tx1"/>
                  </w14:solidFill>
                </w14:textFill>
              </w:rPr>
            </w:pPr>
          </w:p>
        </w:tc>
      </w:tr>
      <w:tr w14:paraId="0784C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679005DC">
            <w:pPr>
              <w:tabs>
                <w:tab w:val="left" w:pos="4320"/>
              </w:tabs>
              <w:rPr>
                <w:rFonts w:hint="eastAsia" w:ascii="宋体" w:hAnsi="宋体"/>
                <w:color w:val="000000" w:themeColor="text1"/>
                <w:sz w:val="24"/>
                <w:highlight w:val="none"/>
                <w14:textFill>
                  <w14:solidFill>
                    <w14:schemeClr w14:val="tx1"/>
                  </w14:solidFill>
                </w14:textFill>
              </w:rPr>
            </w:pPr>
          </w:p>
        </w:tc>
        <w:tc>
          <w:tcPr>
            <w:tcW w:w="896" w:type="pct"/>
            <w:gridSpan w:val="3"/>
            <w:noWrap w:val="0"/>
            <w:vAlign w:val="center"/>
          </w:tcPr>
          <w:p w14:paraId="787962BF">
            <w:pPr>
              <w:tabs>
                <w:tab w:val="left" w:pos="4320"/>
              </w:tabs>
              <w:rPr>
                <w:rFonts w:hint="eastAsia" w:ascii="宋体" w:hAnsi="宋体"/>
                <w:color w:val="000000" w:themeColor="text1"/>
                <w:sz w:val="24"/>
                <w:highlight w:val="none"/>
                <w14:textFill>
                  <w14:solidFill>
                    <w14:schemeClr w14:val="tx1"/>
                  </w14:solidFill>
                </w14:textFill>
              </w:rPr>
            </w:pPr>
          </w:p>
        </w:tc>
        <w:tc>
          <w:tcPr>
            <w:tcW w:w="881" w:type="pct"/>
            <w:gridSpan w:val="2"/>
            <w:noWrap w:val="0"/>
            <w:vAlign w:val="center"/>
          </w:tcPr>
          <w:p w14:paraId="527419B3">
            <w:pPr>
              <w:tabs>
                <w:tab w:val="left" w:pos="4320"/>
              </w:tabs>
              <w:rPr>
                <w:rFonts w:hint="eastAsia" w:ascii="宋体" w:hAnsi="宋体"/>
                <w:color w:val="000000" w:themeColor="text1"/>
                <w:sz w:val="24"/>
                <w:highlight w:val="none"/>
                <w14:textFill>
                  <w14:solidFill>
                    <w14:schemeClr w14:val="tx1"/>
                  </w14:solidFill>
                </w14:textFill>
              </w:rPr>
            </w:pPr>
          </w:p>
        </w:tc>
        <w:tc>
          <w:tcPr>
            <w:tcW w:w="516" w:type="pct"/>
            <w:noWrap w:val="0"/>
            <w:vAlign w:val="center"/>
          </w:tcPr>
          <w:p w14:paraId="07A5CA1A">
            <w:pPr>
              <w:tabs>
                <w:tab w:val="left" w:pos="4320"/>
              </w:tabs>
              <w:rPr>
                <w:rFonts w:hint="eastAsia" w:ascii="宋体" w:hAnsi="宋体"/>
                <w:color w:val="000000" w:themeColor="text1"/>
                <w:sz w:val="24"/>
                <w:highlight w:val="none"/>
                <w14:textFill>
                  <w14:solidFill>
                    <w14:schemeClr w14:val="tx1"/>
                  </w14:solidFill>
                </w14:textFill>
              </w:rPr>
            </w:pPr>
          </w:p>
        </w:tc>
        <w:tc>
          <w:tcPr>
            <w:tcW w:w="688" w:type="pct"/>
            <w:noWrap w:val="0"/>
            <w:vAlign w:val="center"/>
          </w:tcPr>
          <w:p w14:paraId="619F8739">
            <w:pPr>
              <w:tabs>
                <w:tab w:val="left" w:pos="4320"/>
              </w:tabs>
              <w:rPr>
                <w:rFonts w:hint="eastAsia" w:ascii="宋体" w:hAnsi="宋体"/>
                <w:color w:val="000000" w:themeColor="text1"/>
                <w:sz w:val="24"/>
                <w:highlight w:val="none"/>
                <w14:textFill>
                  <w14:solidFill>
                    <w14:schemeClr w14:val="tx1"/>
                  </w14:solidFill>
                </w14:textFill>
              </w:rPr>
            </w:pPr>
          </w:p>
        </w:tc>
        <w:tc>
          <w:tcPr>
            <w:tcW w:w="694" w:type="pct"/>
            <w:gridSpan w:val="2"/>
            <w:noWrap w:val="0"/>
            <w:vAlign w:val="center"/>
          </w:tcPr>
          <w:p w14:paraId="085460CA">
            <w:pPr>
              <w:tabs>
                <w:tab w:val="left" w:pos="4320"/>
              </w:tabs>
              <w:rPr>
                <w:rFonts w:hint="eastAsia" w:ascii="宋体" w:hAnsi="宋体"/>
                <w:color w:val="000000" w:themeColor="text1"/>
                <w:sz w:val="24"/>
                <w:highlight w:val="none"/>
                <w14:textFill>
                  <w14:solidFill>
                    <w14:schemeClr w14:val="tx1"/>
                  </w14:solidFill>
                </w14:textFill>
              </w:rPr>
            </w:pPr>
          </w:p>
        </w:tc>
        <w:tc>
          <w:tcPr>
            <w:tcW w:w="876" w:type="pct"/>
            <w:gridSpan w:val="2"/>
            <w:noWrap w:val="0"/>
            <w:vAlign w:val="center"/>
          </w:tcPr>
          <w:p w14:paraId="6D87E81F">
            <w:pPr>
              <w:tabs>
                <w:tab w:val="left" w:pos="4320"/>
              </w:tabs>
              <w:rPr>
                <w:rFonts w:hint="eastAsia" w:ascii="宋体" w:hAnsi="宋体"/>
                <w:color w:val="000000" w:themeColor="text1"/>
                <w:sz w:val="24"/>
                <w:highlight w:val="none"/>
                <w14:textFill>
                  <w14:solidFill>
                    <w14:schemeClr w14:val="tx1"/>
                  </w14:solidFill>
                </w14:textFill>
              </w:rPr>
            </w:pPr>
          </w:p>
        </w:tc>
      </w:tr>
      <w:tr w14:paraId="7A849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640D7647">
            <w:pPr>
              <w:tabs>
                <w:tab w:val="left" w:pos="4320"/>
              </w:tabs>
              <w:rPr>
                <w:rFonts w:hint="eastAsia" w:ascii="宋体" w:hAnsi="宋体"/>
                <w:color w:val="000000" w:themeColor="text1"/>
                <w:sz w:val="24"/>
                <w:highlight w:val="none"/>
                <w14:textFill>
                  <w14:solidFill>
                    <w14:schemeClr w14:val="tx1"/>
                  </w14:solidFill>
                </w14:textFill>
              </w:rPr>
            </w:pPr>
          </w:p>
        </w:tc>
        <w:tc>
          <w:tcPr>
            <w:tcW w:w="896" w:type="pct"/>
            <w:gridSpan w:val="3"/>
            <w:noWrap w:val="0"/>
            <w:vAlign w:val="center"/>
          </w:tcPr>
          <w:p w14:paraId="08A9D6B4">
            <w:pPr>
              <w:tabs>
                <w:tab w:val="left" w:pos="4320"/>
              </w:tabs>
              <w:rPr>
                <w:rFonts w:hint="eastAsia" w:ascii="宋体" w:hAnsi="宋体"/>
                <w:color w:val="000000" w:themeColor="text1"/>
                <w:sz w:val="24"/>
                <w:highlight w:val="none"/>
                <w14:textFill>
                  <w14:solidFill>
                    <w14:schemeClr w14:val="tx1"/>
                  </w14:solidFill>
                </w14:textFill>
              </w:rPr>
            </w:pPr>
          </w:p>
        </w:tc>
        <w:tc>
          <w:tcPr>
            <w:tcW w:w="881" w:type="pct"/>
            <w:gridSpan w:val="2"/>
            <w:noWrap w:val="0"/>
            <w:vAlign w:val="center"/>
          </w:tcPr>
          <w:p w14:paraId="62A99E69">
            <w:pPr>
              <w:tabs>
                <w:tab w:val="left" w:pos="4320"/>
              </w:tabs>
              <w:rPr>
                <w:rFonts w:hint="eastAsia" w:ascii="宋体" w:hAnsi="宋体"/>
                <w:color w:val="000000" w:themeColor="text1"/>
                <w:sz w:val="24"/>
                <w:highlight w:val="none"/>
                <w14:textFill>
                  <w14:solidFill>
                    <w14:schemeClr w14:val="tx1"/>
                  </w14:solidFill>
                </w14:textFill>
              </w:rPr>
            </w:pPr>
          </w:p>
        </w:tc>
        <w:tc>
          <w:tcPr>
            <w:tcW w:w="516" w:type="pct"/>
            <w:noWrap w:val="0"/>
            <w:vAlign w:val="center"/>
          </w:tcPr>
          <w:p w14:paraId="5A25B57C">
            <w:pPr>
              <w:tabs>
                <w:tab w:val="left" w:pos="4320"/>
              </w:tabs>
              <w:rPr>
                <w:rFonts w:hint="eastAsia" w:ascii="宋体" w:hAnsi="宋体"/>
                <w:color w:val="000000" w:themeColor="text1"/>
                <w:sz w:val="24"/>
                <w:highlight w:val="none"/>
                <w14:textFill>
                  <w14:solidFill>
                    <w14:schemeClr w14:val="tx1"/>
                  </w14:solidFill>
                </w14:textFill>
              </w:rPr>
            </w:pPr>
          </w:p>
        </w:tc>
        <w:tc>
          <w:tcPr>
            <w:tcW w:w="688" w:type="pct"/>
            <w:noWrap w:val="0"/>
            <w:vAlign w:val="center"/>
          </w:tcPr>
          <w:p w14:paraId="5F9EFF9E">
            <w:pPr>
              <w:tabs>
                <w:tab w:val="left" w:pos="4320"/>
              </w:tabs>
              <w:rPr>
                <w:rFonts w:hint="eastAsia" w:ascii="宋体" w:hAnsi="宋体"/>
                <w:color w:val="000000" w:themeColor="text1"/>
                <w:sz w:val="24"/>
                <w:highlight w:val="none"/>
                <w14:textFill>
                  <w14:solidFill>
                    <w14:schemeClr w14:val="tx1"/>
                  </w14:solidFill>
                </w14:textFill>
              </w:rPr>
            </w:pPr>
          </w:p>
        </w:tc>
        <w:tc>
          <w:tcPr>
            <w:tcW w:w="694" w:type="pct"/>
            <w:gridSpan w:val="2"/>
            <w:noWrap w:val="0"/>
            <w:vAlign w:val="center"/>
          </w:tcPr>
          <w:p w14:paraId="2EC4F6D2">
            <w:pPr>
              <w:tabs>
                <w:tab w:val="left" w:pos="4320"/>
              </w:tabs>
              <w:rPr>
                <w:rFonts w:hint="eastAsia" w:ascii="宋体" w:hAnsi="宋体"/>
                <w:color w:val="000000" w:themeColor="text1"/>
                <w:sz w:val="24"/>
                <w:highlight w:val="none"/>
                <w14:textFill>
                  <w14:solidFill>
                    <w14:schemeClr w14:val="tx1"/>
                  </w14:solidFill>
                </w14:textFill>
              </w:rPr>
            </w:pPr>
          </w:p>
        </w:tc>
        <w:tc>
          <w:tcPr>
            <w:tcW w:w="876" w:type="pct"/>
            <w:gridSpan w:val="2"/>
            <w:noWrap w:val="0"/>
            <w:vAlign w:val="center"/>
          </w:tcPr>
          <w:p w14:paraId="101F36D1">
            <w:pPr>
              <w:tabs>
                <w:tab w:val="left" w:pos="4320"/>
              </w:tabs>
              <w:rPr>
                <w:rFonts w:hint="eastAsia" w:ascii="宋体" w:hAnsi="宋体"/>
                <w:color w:val="000000" w:themeColor="text1"/>
                <w:sz w:val="24"/>
                <w:highlight w:val="none"/>
                <w14:textFill>
                  <w14:solidFill>
                    <w14:schemeClr w14:val="tx1"/>
                  </w14:solidFill>
                </w14:textFill>
              </w:rPr>
            </w:pPr>
          </w:p>
        </w:tc>
      </w:tr>
      <w:tr w14:paraId="66B26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restart"/>
            <w:noWrap w:val="0"/>
            <w:vAlign w:val="center"/>
          </w:tcPr>
          <w:p w14:paraId="26AFA5B4">
            <w:pPr>
              <w:tabs>
                <w:tab w:val="left" w:pos="4320"/>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其他</w:t>
            </w:r>
          </w:p>
        </w:tc>
        <w:tc>
          <w:tcPr>
            <w:tcW w:w="2294" w:type="pct"/>
            <w:gridSpan w:val="6"/>
            <w:noWrap w:val="0"/>
            <w:vAlign w:val="center"/>
          </w:tcPr>
          <w:p w14:paraId="460FBF86">
            <w:pPr>
              <w:tabs>
                <w:tab w:val="left" w:pos="4320"/>
              </w:tabs>
              <w:spacing w:before="60" w:after="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p>
        </w:tc>
        <w:tc>
          <w:tcPr>
            <w:tcW w:w="2260" w:type="pct"/>
            <w:gridSpan w:val="5"/>
            <w:noWrap w:val="0"/>
            <w:vAlign w:val="center"/>
          </w:tcPr>
          <w:p w14:paraId="27A4E116">
            <w:pPr>
              <w:tabs>
                <w:tab w:val="left" w:pos="4320"/>
              </w:tabs>
              <w:spacing w:before="60" w:after="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1F726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6" w:hRule="atLeast"/>
        </w:trPr>
        <w:tc>
          <w:tcPr>
            <w:tcW w:w="445" w:type="pct"/>
            <w:vMerge w:val="continue"/>
            <w:noWrap w:val="0"/>
            <w:vAlign w:val="center"/>
          </w:tcPr>
          <w:p w14:paraId="6D78E61B">
            <w:pPr>
              <w:tabs>
                <w:tab w:val="left" w:pos="4320"/>
              </w:tabs>
              <w:rPr>
                <w:rFonts w:hint="eastAsia" w:ascii="宋体" w:hAnsi="宋体"/>
                <w:color w:val="000000" w:themeColor="text1"/>
                <w:sz w:val="24"/>
                <w:highlight w:val="none"/>
                <w14:textFill>
                  <w14:solidFill>
                    <w14:schemeClr w14:val="tx1"/>
                  </w14:solidFill>
                </w14:textFill>
              </w:rPr>
            </w:pPr>
          </w:p>
        </w:tc>
        <w:tc>
          <w:tcPr>
            <w:tcW w:w="2294" w:type="pct"/>
            <w:gridSpan w:val="6"/>
            <w:noWrap w:val="0"/>
            <w:vAlign w:val="center"/>
          </w:tcPr>
          <w:p w14:paraId="3F9E7A49">
            <w:pPr>
              <w:tabs>
                <w:tab w:val="left" w:pos="4320"/>
              </w:tabs>
              <w:rPr>
                <w:rFonts w:hint="eastAsia" w:ascii="宋体" w:hAnsi="宋体"/>
                <w:color w:val="000000" w:themeColor="text1"/>
                <w:sz w:val="24"/>
                <w:highlight w:val="none"/>
                <w14:textFill>
                  <w14:solidFill>
                    <w14:schemeClr w14:val="tx1"/>
                  </w14:solidFill>
                </w14:textFill>
              </w:rPr>
            </w:pPr>
          </w:p>
        </w:tc>
        <w:tc>
          <w:tcPr>
            <w:tcW w:w="2260" w:type="pct"/>
            <w:gridSpan w:val="5"/>
            <w:noWrap w:val="0"/>
            <w:vAlign w:val="center"/>
          </w:tcPr>
          <w:p w14:paraId="1FA5ACA5">
            <w:pPr>
              <w:tabs>
                <w:tab w:val="left" w:pos="4320"/>
              </w:tabs>
              <w:rPr>
                <w:rFonts w:hint="eastAsia" w:ascii="宋体" w:hAnsi="宋体"/>
                <w:color w:val="000000" w:themeColor="text1"/>
                <w:sz w:val="24"/>
                <w:highlight w:val="none"/>
                <w14:textFill>
                  <w14:solidFill>
                    <w14:schemeClr w14:val="tx1"/>
                  </w14:solidFill>
                </w14:textFill>
              </w:rPr>
            </w:pPr>
          </w:p>
        </w:tc>
      </w:tr>
    </w:tbl>
    <w:p w14:paraId="1EEBA9FA">
      <w:pPr>
        <w:widowControl/>
        <w:jc w:val="lef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br w:type="page" w:clear="all"/>
      </w:r>
    </w:p>
    <w:p w14:paraId="13F0F815">
      <w:pPr>
        <w:pStyle w:val="72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8</w:t>
      </w:r>
    </w:p>
    <w:p w14:paraId="05F4B02D">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商务部分正负偏离表</w:t>
      </w:r>
    </w:p>
    <w:p w14:paraId="3322EB18">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（由投标人据实填写，表格不够自行添加）</w:t>
      </w:r>
    </w:p>
    <w:tbl>
      <w:tblPr>
        <w:tblStyle w:val="6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01"/>
        <w:gridCol w:w="2188"/>
        <w:gridCol w:w="1910"/>
        <w:gridCol w:w="2463"/>
        <w:gridCol w:w="1358"/>
      </w:tblGrid>
      <w:tr w14:paraId="2B3564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59" w:type="pct"/>
            <w:noWrap w:val="0"/>
            <w:vAlign w:val="center"/>
          </w:tcPr>
          <w:p w14:paraId="6321543F">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1254" w:type="pct"/>
            <w:noWrap w:val="0"/>
            <w:vAlign w:val="center"/>
          </w:tcPr>
          <w:p w14:paraId="3A34F4E8">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货物或服务名称</w:t>
            </w:r>
          </w:p>
        </w:tc>
        <w:tc>
          <w:tcPr>
            <w:tcW w:w="1095" w:type="pct"/>
            <w:noWrap w:val="0"/>
            <w:vAlign w:val="center"/>
          </w:tcPr>
          <w:p w14:paraId="44D0F4FF">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招标文件要求的商务条款</w:t>
            </w:r>
          </w:p>
        </w:tc>
        <w:tc>
          <w:tcPr>
            <w:tcW w:w="1412" w:type="pct"/>
            <w:noWrap w:val="0"/>
            <w:vAlign w:val="center"/>
          </w:tcPr>
          <w:p w14:paraId="6528F463">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投标文件响应情况</w:t>
            </w:r>
          </w:p>
        </w:tc>
        <w:tc>
          <w:tcPr>
            <w:tcW w:w="778" w:type="pct"/>
            <w:noWrap w:val="0"/>
          </w:tcPr>
          <w:p w14:paraId="7F939EB3">
            <w:pPr>
              <w:spacing w:line="340" w:lineRule="exact"/>
              <w:jc w:val="center"/>
              <w:rPr>
                <w:rFonts w:hint="eastAsia" w:ascii="宋体" w:hAnsi="宋体"/>
                <w:color w:val="000000" w:themeColor="text1"/>
                <w:sz w:val="24"/>
                <w:highlight w:val="none"/>
                <w14:textFill>
                  <w14:solidFill>
                    <w14:schemeClr w14:val="tx1"/>
                  </w14:solidFill>
                </w14:textFill>
              </w:rPr>
            </w:pPr>
          </w:p>
          <w:p w14:paraId="3BAAA7C4">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偏离说明</w:t>
            </w:r>
          </w:p>
        </w:tc>
      </w:tr>
      <w:tr w14:paraId="550142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59" w:type="pct"/>
            <w:noWrap w:val="0"/>
          </w:tcPr>
          <w:p w14:paraId="4D954F75">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p>
        </w:tc>
        <w:tc>
          <w:tcPr>
            <w:tcW w:w="1254" w:type="pct"/>
            <w:noWrap w:val="0"/>
            <w:vAlign w:val="center"/>
          </w:tcPr>
          <w:p w14:paraId="3C82829D">
            <w:pPr>
              <w:spacing w:line="340" w:lineRule="exact"/>
              <w:jc w:val="left"/>
              <w:rPr>
                <w:rFonts w:hint="eastAsia" w:ascii="宋体" w:hAnsi="宋体"/>
                <w:color w:val="000000" w:themeColor="text1"/>
                <w:sz w:val="24"/>
                <w:highlight w:val="none"/>
                <w14:textFill>
                  <w14:solidFill>
                    <w14:schemeClr w14:val="tx1"/>
                  </w14:solidFill>
                </w14:textFill>
              </w:rPr>
            </w:pPr>
          </w:p>
        </w:tc>
        <w:tc>
          <w:tcPr>
            <w:tcW w:w="1095" w:type="pct"/>
            <w:noWrap w:val="0"/>
            <w:vAlign w:val="center"/>
          </w:tcPr>
          <w:p w14:paraId="67559CA6">
            <w:pPr>
              <w:spacing w:line="340" w:lineRule="exact"/>
              <w:jc w:val="left"/>
              <w:rPr>
                <w:rFonts w:hint="eastAsia" w:ascii="宋体" w:hAnsi="宋体"/>
                <w:color w:val="000000" w:themeColor="text1"/>
                <w:sz w:val="24"/>
                <w:highlight w:val="none"/>
                <w14:textFill>
                  <w14:solidFill>
                    <w14:schemeClr w14:val="tx1"/>
                  </w14:solidFill>
                </w14:textFill>
              </w:rPr>
            </w:pPr>
          </w:p>
        </w:tc>
        <w:tc>
          <w:tcPr>
            <w:tcW w:w="1412" w:type="pct"/>
            <w:noWrap w:val="0"/>
            <w:vAlign w:val="center"/>
          </w:tcPr>
          <w:p w14:paraId="3BC7D6B5">
            <w:pPr>
              <w:spacing w:line="340" w:lineRule="exact"/>
              <w:jc w:val="left"/>
              <w:rPr>
                <w:rFonts w:hint="eastAsia" w:ascii="宋体" w:hAnsi="宋体"/>
                <w:color w:val="000000" w:themeColor="text1"/>
                <w:sz w:val="24"/>
                <w:highlight w:val="none"/>
                <w14:textFill>
                  <w14:solidFill>
                    <w14:schemeClr w14:val="tx1"/>
                  </w14:solidFill>
                </w14:textFill>
              </w:rPr>
            </w:pPr>
          </w:p>
        </w:tc>
        <w:tc>
          <w:tcPr>
            <w:tcW w:w="778" w:type="pct"/>
            <w:noWrap w:val="0"/>
          </w:tcPr>
          <w:p w14:paraId="2F8AD255">
            <w:pPr>
              <w:spacing w:line="340" w:lineRule="exact"/>
              <w:jc w:val="left"/>
              <w:rPr>
                <w:rFonts w:hint="eastAsia" w:ascii="宋体" w:hAnsi="宋体"/>
                <w:color w:val="000000" w:themeColor="text1"/>
                <w:sz w:val="24"/>
                <w:highlight w:val="none"/>
                <w14:textFill>
                  <w14:solidFill>
                    <w14:schemeClr w14:val="tx1"/>
                  </w14:solidFill>
                </w14:textFill>
              </w:rPr>
            </w:pPr>
          </w:p>
        </w:tc>
      </w:tr>
      <w:tr w14:paraId="72E849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59" w:type="pct"/>
            <w:noWrap w:val="0"/>
          </w:tcPr>
          <w:p w14:paraId="268AB4D3">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p>
        </w:tc>
        <w:tc>
          <w:tcPr>
            <w:tcW w:w="1254" w:type="pct"/>
            <w:noWrap w:val="0"/>
            <w:vAlign w:val="center"/>
          </w:tcPr>
          <w:p w14:paraId="7407B036">
            <w:pPr>
              <w:spacing w:line="340" w:lineRule="exact"/>
              <w:jc w:val="left"/>
              <w:rPr>
                <w:rFonts w:hint="eastAsia" w:ascii="宋体" w:hAnsi="宋体"/>
                <w:color w:val="000000" w:themeColor="text1"/>
                <w:sz w:val="24"/>
                <w:highlight w:val="none"/>
                <w14:textFill>
                  <w14:solidFill>
                    <w14:schemeClr w14:val="tx1"/>
                  </w14:solidFill>
                </w14:textFill>
              </w:rPr>
            </w:pPr>
          </w:p>
        </w:tc>
        <w:tc>
          <w:tcPr>
            <w:tcW w:w="1095" w:type="pct"/>
            <w:noWrap w:val="0"/>
            <w:vAlign w:val="center"/>
          </w:tcPr>
          <w:p w14:paraId="76B6182B">
            <w:pPr>
              <w:spacing w:line="340" w:lineRule="exact"/>
              <w:jc w:val="left"/>
              <w:rPr>
                <w:rFonts w:hint="eastAsia" w:ascii="宋体" w:hAnsi="宋体"/>
                <w:color w:val="000000" w:themeColor="text1"/>
                <w:sz w:val="24"/>
                <w:highlight w:val="none"/>
                <w14:textFill>
                  <w14:solidFill>
                    <w14:schemeClr w14:val="tx1"/>
                  </w14:solidFill>
                </w14:textFill>
              </w:rPr>
            </w:pPr>
          </w:p>
        </w:tc>
        <w:tc>
          <w:tcPr>
            <w:tcW w:w="1412" w:type="pct"/>
            <w:noWrap w:val="0"/>
            <w:vAlign w:val="center"/>
          </w:tcPr>
          <w:p w14:paraId="766C26A8">
            <w:pPr>
              <w:spacing w:line="340" w:lineRule="exact"/>
              <w:jc w:val="left"/>
              <w:rPr>
                <w:rFonts w:hint="eastAsia" w:ascii="宋体" w:hAnsi="宋体"/>
                <w:color w:val="000000" w:themeColor="text1"/>
                <w:sz w:val="24"/>
                <w:highlight w:val="none"/>
                <w14:textFill>
                  <w14:solidFill>
                    <w14:schemeClr w14:val="tx1"/>
                  </w14:solidFill>
                </w14:textFill>
              </w:rPr>
            </w:pPr>
          </w:p>
        </w:tc>
        <w:tc>
          <w:tcPr>
            <w:tcW w:w="778" w:type="pct"/>
            <w:noWrap w:val="0"/>
          </w:tcPr>
          <w:p w14:paraId="0238D8A3">
            <w:pPr>
              <w:spacing w:line="340" w:lineRule="exact"/>
              <w:jc w:val="left"/>
              <w:rPr>
                <w:rFonts w:hint="eastAsia" w:ascii="宋体" w:hAnsi="宋体"/>
                <w:color w:val="000000" w:themeColor="text1"/>
                <w:sz w:val="24"/>
                <w:highlight w:val="none"/>
                <w14:textFill>
                  <w14:solidFill>
                    <w14:schemeClr w14:val="tx1"/>
                  </w14:solidFill>
                </w14:textFill>
              </w:rPr>
            </w:pPr>
          </w:p>
        </w:tc>
      </w:tr>
      <w:tr w14:paraId="6E5EFB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59" w:type="pct"/>
            <w:noWrap w:val="0"/>
          </w:tcPr>
          <w:p w14:paraId="704C83DE">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p>
        </w:tc>
        <w:tc>
          <w:tcPr>
            <w:tcW w:w="1254" w:type="pct"/>
            <w:noWrap w:val="0"/>
            <w:vAlign w:val="center"/>
          </w:tcPr>
          <w:p w14:paraId="5DE5B812">
            <w:pPr>
              <w:spacing w:line="340" w:lineRule="exact"/>
              <w:jc w:val="left"/>
              <w:rPr>
                <w:rFonts w:hint="eastAsia" w:ascii="宋体" w:hAnsi="宋体"/>
                <w:color w:val="000000" w:themeColor="text1"/>
                <w:sz w:val="24"/>
                <w:highlight w:val="none"/>
                <w14:textFill>
                  <w14:solidFill>
                    <w14:schemeClr w14:val="tx1"/>
                  </w14:solidFill>
                </w14:textFill>
              </w:rPr>
            </w:pPr>
          </w:p>
        </w:tc>
        <w:tc>
          <w:tcPr>
            <w:tcW w:w="1095" w:type="pct"/>
            <w:noWrap w:val="0"/>
            <w:vAlign w:val="center"/>
          </w:tcPr>
          <w:p w14:paraId="7F45CCA4">
            <w:pPr>
              <w:spacing w:line="340" w:lineRule="exact"/>
              <w:jc w:val="left"/>
              <w:rPr>
                <w:rFonts w:hint="eastAsia" w:ascii="宋体" w:hAnsi="宋体"/>
                <w:color w:val="000000" w:themeColor="text1"/>
                <w:sz w:val="24"/>
                <w:highlight w:val="none"/>
                <w14:textFill>
                  <w14:solidFill>
                    <w14:schemeClr w14:val="tx1"/>
                  </w14:solidFill>
                </w14:textFill>
              </w:rPr>
            </w:pPr>
          </w:p>
        </w:tc>
        <w:tc>
          <w:tcPr>
            <w:tcW w:w="1412" w:type="pct"/>
            <w:noWrap w:val="0"/>
            <w:vAlign w:val="center"/>
          </w:tcPr>
          <w:p w14:paraId="0E426184">
            <w:pPr>
              <w:spacing w:line="340" w:lineRule="exact"/>
              <w:jc w:val="left"/>
              <w:rPr>
                <w:rFonts w:hint="eastAsia" w:ascii="宋体" w:hAnsi="宋体"/>
                <w:color w:val="000000" w:themeColor="text1"/>
                <w:sz w:val="24"/>
                <w:highlight w:val="none"/>
                <w14:textFill>
                  <w14:solidFill>
                    <w14:schemeClr w14:val="tx1"/>
                  </w14:solidFill>
                </w14:textFill>
              </w:rPr>
            </w:pPr>
          </w:p>
        </w:tc>
        <w:tc>
          <w:tcPr>
            <w:tcW w:w="778" w:type="pct"/>
            <w:noWrap w:val="0"/>
          </w:tcPr>
          <w:p w14:paraId="69EFE414">
            <w:pPr>
              <w:spacing w:line="340" w:lineRule="exact"/>
              <w:jc w:val="left"/>
              <w:rPr>
                <w:rFonts w:hint="eastAsia" w:ascii="宋体" w:hAnsi="宋体"/>
                <w:color w:val="000000" w:themeColor="text1"/>
                <w:sz w:val="24"/>
                <w:highlight w:val="none"/>
                <w14:textFill>
                  <w14:solidFill>
                    <w14:schemeClr w14:val="tx1"/>
                  </w14:solidFill>
                </w14:textFill>
              </w:rPr>
            </w:pPr>
          </w:p>
        </w:tc>
      </w:tr>
      <w:tr w14:paraId="5BD074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59" w:type="pct"/>
            <w:noWrap w:val="0"/>
          </w:tcPr>
          <w:p w14:paraId="57F43113">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p>
        </w:tc>
        <w:tc>
          <w:tcPr>
            <w:tcW w:w="1254" w:type="pct"/>
            <w:noWrap w:val="0"/>
            <w:vAlign w:val="center"/>
          </w:tcPr>
          <w:p w14:paraId="237E8149">
            <w:pPr>
              <w:spacing w:line="340" w:lineRule="exact"/>
              <w:jc w:val="left"/>
              <w:rPr>
                <w:rFonts w:hint="eastAsia" w:ascii="宋体" w:hAnsi="宋体"/>
                <w:color w:val="000000" w:themeColor="text1"/>
                <w:sz w:val="24"/>
                <w:highlight w:val="none"/>
                <w14:textFill>
                  <w14:solidFill>
                    <w14:schemeClr w14:val="tx1"/>
                  </w14:solidFill>
                </w14:textFill>
              </w:rPr>
            </w:pPr>
          </w:p>
        </w:tc>
        <w:tc>
          <w:tcPr>
            <w:tcW w:w="1095" w:type="pct"/>
            <w:noWrap w:val="0"/>
            <w:vAlign w:val="center"/>
          </w:tcPr>
          <w:p w14:paraId="2B0C8C5D">
            <w:pPr>
              <w:spacing w:line="340" w:lineRule="exact"/>
              <w:jc w:val="left"/>
              <w:rPr>
                <w:rFonts w:hint="eastAsia" w:ascii="宋体" w:hAnsi="宋体"/>
                <w:color w:val="000000" w:themeColor="text1"/>
                <w:sz w:val="24"/>
                <w:highlight w:val="none"/>
                <w14:textFill>
                  <w14:solidFill>
                    <w14:schemeClr w14:val="tx1"/>
                  </w14:solidFill>
                </w14:textFill>
              </w:rPr>
            </w:pPr>
          </w:p>
        </w:tc>
        <w:tc>
          <w:tcPr>
            <w:tcW w:w="1412" w:type="pct"/>
            <w:noWrap w:val="0"/>
            <w:vAlign w:val="center"/>
          </w:tcPr>
          <w:p w14:paraId="067EC9F4">
            <w:pPr>
              <w:spacing w:line="340" w:lineRule="exact"/>
              <w:jc w:val="left"/>
              <w:rPr>
                <w:rFonts w:hint="eastAsia" w:ascii="宋体" w:hAnsi="宋体"/>
                <w:color w:val="000000" w:themeColor="text1"/>
                <w:sz w:val="24"/>
                <w:highlight w:val="none"/>
                <w14:textFill>
                  <w14:solidFill>
                    <w14:schemeClr w14:val="tx1"/>
                  </w14:solidFill>
                </w14:textFill>
              </w:rPr>
            </w:pPr>
          </w:p>
        </w:tc>
        <w:tc>
          <w:tcPr>
            <w:tcW w:w="778" w:type="pct"/>
            <w:noWrap w:val="0"/>
          </w:tcPr>
          <w:p w14:paraId="35C0D348">
            <w:pPr>
              <w:spacing w:line="340" w:lineRule="exact"/>
              <w:jc w:val="left"/>
              <w:rPr>
                <w:rFonts w:hint="eastAsia" w:ascii="宋体" w:hAnsi="宋体"/>
                <w:color w:val="000000" w:themeColor="text1"/>
                <w:sz w:val="24"/>
                <w:highlight w:val="none"/>
                <w14:textFill>
                  <w14:solidFill>
                    <w14:schemeClr w14:val="tx1"/>
                  </w14:solidFill>
                </w14:textFill>
              </w:rPr>
            </w:pPr>
          </w:p>
        </w:tc>
      </w:tr>
    </w:tbl>
    <w:p w14:paraId="41EE22D0">
      <w:pPr>
        <w:pStyle w:val="3"/>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注：</w:t>
      </w:r>
    </w:p>
    <w:p w14:paraId="0A3DF0D9">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1.投标人提交的投标文件中与招标文件第三部分“项目需求”中的商务部分的要求，应逐条填列在偏离表中。</w:t>
      </w:r>
    </w:p>
    <w:p w14:paraId="7F2BE1A3">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2.“偏离说明”一栏选择“正偏离”“无偏离”“负偏离”进行填写。正偏离、无偏离的确认和负偏离的是否响应招标文件，由评委认定。</w:t>
      </w:r>
    </w:p>
    <w:p w14:paraId="604C6041">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3.投标人如果虚假响应，将被暂停参加采购人组织政府采购活动。</w:t>
      </w:r>
    </w:p>
    <w:p w14:paraId="013AF7C4">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4.投标人若提供其他增值服务，可以在表中自行据实填写。</w:t>
      </w:r>
    </w:p>
    <w:p w14:paraId="180DFF7E">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2794E221">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4024267F">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7E911207">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2DF59831">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20BDC0AA">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2C2F0A75">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79E3364C">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0B1C37A3">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70816361">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7DC5B63C">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209DEEE3">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03080B5B">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105121EA">
      <w:pPr>
        <w:pStyle w:val="72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9</w:t>
      </w:r>
    </w:p>
    <w:p w14:paraId="685FA7D7">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技术部分正负偏离表</w:t>
      </w:r>
    </w:p>
    <w:p w14:paraId="3829D71A">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（由投标人据实填写，表格不够自行添加）</w:t>
      </w:r>
    </w:p>
    <w:tbl>
      <w:tblPr>
        <w:tblStyle w:val="6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01"/>
        <w:gridCol w:w="2188"/>
        <w:gridCol w:w="1910"/>
        <w:gridCol w:w="2463"/>
        <w:gridCol w:w="1358"/>
      </w:tblGrid>
      <w:tr w14:paraId="413C81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59" w:type="pct"/>
            <w:noWrap w:val="0"/>
            <w:vAlign w:val="center"/>
          </w:tcPr>
          <w:p w14:paraId="4A7DD351">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1254" w:type="pct"/>
            <w:noWrap w:val="0"/>
            <w:vAlign w:val="center"/>
          </w:tcPr>
          <w:p w14:paraId="6B09C38D">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货物或服务名称</w:t>
            </w:r>
          </w:p>
        </w:tc>
        <w:tc>
          <w:tcPr>
            <w:tcW w:w="1095" w:type="pct"/>
            <w:noWrap w:val="0"/>
            <w:vAlign w:val="center"/>
          </w:tcPr>
          <w:p w14:paraId="67665FBF">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招标文件要求的技术要求</w:t>
            </w:r>
          </w:p>
        </w:tc>
        <w:tc>
          <w:tcPr>
            <w:tcW w:w="1412" w:type="pct"/>
            <w:noWrap w:val="0"/>
            <w:vAlign w:val="center"/>
          </w:tcPr>
          <w:p w14:paraId="23A3837D">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投标文件响应情况</w:t>
            </w:r>
          </w:p>
        </w:tc>
        <w:tc>
          <w:tcPr>
            <w:tcW w:w="778" w:type="pct"/>
            <w:noWrap w:val="0"/>
          </w:tcPr>
          <w:p w14:paraId="3E2310FB">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偏离说明及证明材料页码</w:t>
            </w:r>
          </w:p>
        </w:tc>
      </w:tr>
      <w:tr w14:paraId="0A3EEB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59" w:type="pct"/>
            <w:noWrap w:val="0"/>
          </w:tcPr>
          <w:p w14:paraId="3F30634B">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p>
        </w:tc>
        <w:tc>
          <w:tcPr>
            <w:tcW w:w="1254" w:type="pct"/>
            <w:noWrap w:val="0"/>
            <w:vAlign w:val="center"/>
          </w:tcPr>
          <w:p w14:paraId="548C5B97">
            <w:pPr>
              <w:spacing w:line="340" w:lineRule="exact"/>
              <w:jc w:val="left"/>
              <w:rPr>
                <w:rFonts w:hint="eastAsia" w:ascii="宋体" w:hAnsi="宋体"/>
                <w:color w:val="000000" w:themeColor="text1"/>
                <w:sz w:val="24"/>
                <w:highlight w:val="none"/>
                <w14:textFill>
                  <w14:solidFill>
                    <w14:schemeClr w14:val="tx1"/>
                  </w14:solidFill>
                </w14:textFill>
              </w:rPr>
            </w:pPr>
          </w:p>
        </w:tc>
        <w:tc>
          <w:tcPr>
            <w:tcW w:w="1095" w:type="pct"/>
            <w:noWrap w:val="0"/>
            <w:vAlign w:val="center"/>
          </w:tcPr>
          <w:p w14:paraId="34B5B17A">
            <w:pPr>
              <w:spacing w:line="340" w:lineRule="exact"/>
              <w:jc w:val="left"/>
              <w:rPr>
                <w:rFonts w:hint="eastAsia" w:ascii="宋体" w:hAnsi="宋体"/>
                <w:color w:val="000000" w:themeColor="text1"/>
                <w:sz w:val="24"/>
                <w:highlight w:val="none"/>
                <w14:textFill>
                  <w14:solidFill>
                    <w14:schemeClr w14:val="tx1"/>
                  </w14:solidFill>
                </w14:textFill>
              </w:rPr>
            </w:pPr>
          </w:p>
        </w:tc>
        <w:tc>
          <w:tcPr>
            <w:tcW w:w="1412" w:type="pct"/>
            <w:noWrap w:val="0"/>
            <w:vAlign w:val="center"/>
          </w:tcPr>
          <w:p w14:paraId="7D2DFE4A">
            <w:pPr>
              <w:spacing w:line="340" w:lineRule="exact"/>
              <w:jc w:val="left"/>
              <w:rPr>
                <w:rFonts w:hint="eastAsia" w:ascii="宋体" w:hAnsi="宋体"/>
                <w:color w:val="000000" w:themeColor="text1"/>
                <w:sz w:val="24"/>
                <w:highlight w:val="none"/>
                <w14:textFill>
                  <w14:solidFill>
                    <w14:schemeClr w14:val="tx1"/>
                  </w14:solidFill>
                </w14:textFill>
              </w:rPr>
            </w:pPr>
          </w:p>
        </w:tc>
        <w:tc>
          <w:tcPr>
            <w:tcW w:w="778" w:type="pct"/>
            <w:noWrap w:val="0"/>
          </w:tcPr>
          <w:p w14:paraId="1F74C5AF">
            <w:pPr>
              <w:spacing w:line="340" w:lineRule="exact"/>
              <w:jc w:val="left"/>
              <w:rPr>
                <w:rFonts w:hint="eastAsia" w:ascii="宋体" w:hAnsi="宋体"/>
                <w:color w:val="000000" w:themeColor="text1"/>
                <w:sz w:val="24"/>
                <w:highlight w:val="none"/>
                <w14:textFill>
                  <w14:solidFill>
                    <w14:schemeClr w14:val="tx1"/>
                  </w14:solidFill>
                </w14:textFill>
              </w:rPr>
            </w:pPr>
          </w:p>
        </w:tc>
      </w:tr>
      <w:tr w14:paraId="542DB2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59" w:type="pct"/>
            <w:noWrap w:val="0"/>
          </w:tcPr>
          <w:p w14:paraId="24DCCA25">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p>
        </w:tc>
        <w:tc>
          <w:tcPr>
            <w:tcW w:w="1254" w:type="pct"/>
            <w:noWrap w:val="0"/>
            <w:vAlign w:val="center"/>
          </w:tcPr>
          <w:p w14:paraId="70D3F267">
            <w:pPr>
              <w:spacing w:line="340" w:lineRule="exact"/>
              <w:jc w:val="left"/>
              <w:rPr>
                <w:rFonts w:hint="eastAsia" w:ascii="宋体" w:hAnsi="宋体"/>
                <w:color w:val="000000" w:themeColor="text1"/>
                <w:sz w:val="24"/>
                <w:highlight w:val="none"/>
                <w14:textFill>
                  <w14:solidFill>
                    <w14:schemeClr w14:val="tx1"/>
                  </w14:solidFill>
                </w14:textFill>
              </w:rPr>
            </w:pPr>
          </w:p>
        </w:tc>
        <w:tc>
          <w:tcPr>
            <w:tcW w:w="1095" w:type="pct"/>
            <w:noWrap w:val="0"/>
            <w:vAlign w:val="center"/>
          </w:tcPr>
          <w:p w14:paraId="661863DA">
            <w:pPr>
              <w:spacing w:line="340" w:lineRule="exact"/>
              <w:jc w:val="left"/>
              <w:rPr>
                <w:rFonts w:hint="eastAsia" w:ascii="宋体" w:hAnsi="宋体"/>
                <w:color w:val="000000" w:themeColor="text1"/>
                <w:sz w:val="24"/>
                <w:highlight w:val="none"/>
                <w14:textFill>
                  <w14:solidFill>
                    <w14:schemeClr w14:val="tx1"/>
                  </w14:solidFill>
                </w14:textFill>
              </w:rPr>
            </w:pPr>
          </w:p>
        </w:tc>
        <w:tc>
          <w:tcPr>
            <w:tcW w:w="1412" w:type="pct"/>
            <w:noWrap w:val="0"/>
            <w:vAlign w:val="center"/>
          </w:tcPr>
          <w:p w14:paraId="76AD18F6">
            <w:pPr>
              <w:spacing w:line="340" w:lineRule="exact"/>
              <w:jc w:val="left"/>
              <w:rPr>
                <w:rFonts w:hint="eastAsia" w:ascii="宋体" w:hAnsi="宋体"/>
                <w:color w:val="000000" w:themeColor="text1"/>
                <w:sz w:val="24"/>
                <w:highlight w:val="none"/>
                <w14:textFill>
                  <w14:solidFill>
                    <w14:schemeClr w14:val="tx1"/>
                  </w14:solidFill>
                </w14:textFill>
              </w:rPr>
            </w:pPr>
          </w:p>
        </w:tc>
        <w:tc>
          <w:tcPr>
            <w:tcW w:w="778" w:type="pct"/>
            <w:noWrap w:val="0"/>
          </w:tcPr>
          <w:p w14:paraId="72011239">
            <w:pPr>
              <w:spacing w:line="340" w:lineRule="exact"/>
              <w:jc w:val="left"/>
              <w:rPr>
                <w:rFonts w:hint="eastAsia" w:ascii="宋体" w:hAnsi="宋体"/>
                <w:color w:val="000000" w:themeColor="text1"/>
                <w:sz w:val="24"/>
                <w:highlight w:val="none"/>
                <w14:textFill>
                  <w14:solidFill>
                    <w14:schemeClr w14:val="tx1"/>
                  </w14:solidFill>
                </w14:textFill>
              </w:rPr>
            </w:pPr>
          </w:p>
        </w:tc>
      </w:tr>
      <w:tr w14:paraId="5AA258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59" w:type="pct"/>
            <w:noWrap w:val="0"/>
          </w:tcPr>
          <w:p w14:paraId="0D661AB0">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p>
        </w:tc>
        <w:tc>
          <w:tcPr>
            <w:tcW w:w="1254" w:type="pct"/>
            <w:noWrap w:val="0"/>
            <w:vAlign w:val="center"/>
          </w:tcPr>
          <w:p w14:paraId="73978CAB">
            <w:pPr>
              <w:spacing w:line="340" w:lineRule="exact"/>
              <w:jc w:val="left"/>
              <w:rPr>
                <w:rFonts w:hint="eastAsia" w:ascii="宋体" w:hAnsi="宋体"/>
                <w:color w:val="000000" w:themeColor="text1"/>
                <w:sz w:val="24"/>
                <w:highlight w:val="none"/>
                <w14:textFill>
                  <w14:solidFill>
                    <w14:schemeClr w14:val="tx1"/>
                  </w14:solidFill>
                </w14:textFill>
              </w:rPr>
            </w:pPr>
          </w:p>
        </w:tc>
        <w:tc>
          <w:tcPr>
            <w:tcW w:w="1095" w:type="pct"/>
            <w:noWrap w:val="0"/>
            <w:vAlign w:val="center"/>
          </w:tcPr>
          <w:p w14:paraId="7821FE43">
            <w:pPr>
              <w:spacing w:line="340" w:lineRule="exact"/>
              <w:jc w:val="left"/>
              <w:rPr>
                <w:rFonts w:hint="eastAsia" w:ascii="宋体" w:hAnsi="宋体"/>
                <w:color w:val="000000" w:themeColor="text1"/>
                <w:sz w:val="24"/>
                <w:highlight w:val="none"/>
                <w14:textFill>
                  <w14:solidFill>
                    <w14:schemeClr w14:val="tx1"/>
                  </w14:solidFill>
                </w14:textFill>
              </w:rPr>
            </w:pPr>
          </w:p>
        </w:tc>
        <w:tc>
          <w:tcPr>
            <w:tcW w:w="1412" w:type="pct"/>
            <w:noWrap w:val="0"/>
            <w:vAlign w:val="center"/>
          </w:tcPr>
          <w:p w14:paraId="21855AC0">
            <w:pPr>
              <w:spacing w:line="340" w:lineRule="exact"/>
              <w:jc w:val="left"/>
              <w:rPr>
                <w:rFonts w:hint="eastAsia" w:ascii="宋体" w:hAnsi="宋体"/>
                <w:color w:val="000000" w:themeColor="text1"/>
                <w:sz w:val="24"/>
                <w:highlight w:val="none"/>
                <w14:textFill>
                  <w14:solidFill>
                    <w14:schemeClr w14:val="tx1"/>
                  </w14:solidFill>
                </w14:textFill>
              </w:rPr>
            </w:pPr>
          </w:p>
        </w:tc>
        <w:tc>
          <w:tcPr>
            <w:tcW w:w="778" w:type="pct"/>
            <w:noWrap w:val="0"/>
          </w:tcPr>
          <w:p w14:paraId="01F9AD19">
            <w:pPr>
              <w:spacing w:line="340" w:lineRule="exact"/>
              <w:jc w:val="left"/>
              <w:rPr>
                <w:rFonts w:hint="eastAsia" w:ascii="宋体" w:hAnsi="宋体"/>
                <w:color w:val="000000" w:themeColor="text1"/>
                <w:sz w:val="24"/>
                <w:highlight w:val="none"/>
                <w14:textFill>
                  <w14:solidFill>
                    <w14:schemeClr w14:val="tx1"/>
                  </w14:solidFill>
                </w14:textFill>
              </w:rPr>
            </w:pPr>
          </w:p>
        </w:tc>
      </w:tr>
      <w:tr w14:paraId="73F05D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59" w:type="pct"/>
            <w:noWrap w:val="0"/>
          </w:tcPr>
          <w:p w14:paraId="7AE677A8">
            <w:pPr>
              <w:spacing w:line="34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p>
        </w:tc>
        <w:tc>
          <w:tcPr>
            <w:tcW w:w="1254" w:type="pct"/>
            <w:noWrap w:val="0"/>
            <w:vAlign w:val="center"/>
          </w:tcPr>
          <w:p w14:paraId="3546B611">
            <w:pPr>
              <w:spacing w:line="340" w:lineRule="exact"/>
              <w:jc w:val="left"/>
              <w:rPr>
                <w:rFonts w:hint="eastAsia" w:ascii="宋体" w:hAnsi="宋体"/>
                <w:color w:val="000000" w:themeColor="text1"/>
                <w:sz w:val="24"/>
                <w:highlight w:val="none"/>
                <w14:textFill>
                  <w14:solidFill>
                    <w14:schemeClr w14:val="tx1"/>
                  </w14:solidFill>
                </w14:textFill>
              </w:rPr>
            </w:pPr>
          </w:p>
        </w:tc>
        <w:tc>
          <w:tcPr>
            <w:tcW w:w="1095" w:type="pct"/>
            <w:noWrap w:val="0"/>
            <w:vAlign w:val="center"/>
          </w:tcPr>
          <w:p w14:paraId="1D7A8E35">
            <w:pPr>
              <w:spacing w:line="340" w:lineRule="exact"/>
              <w:jc w:val="left"/>
              <w:rPr>
                <w:rFonts w:hint="eastAsia" w:ascii="宋体" w:hAnsi="宋体"/>
                <w:color w:val="000000" w:themeColor="text1"/>
                <w:sz w:val="24"/>
                <w:highlight w:val="none"/>
                <w14:textFill>
                  <w14:solidFill>
                    <w14:schemeClr w14:val="tx1"/>
                  </w14:solidFill>
                </w14:textFill>
              </w:rPr>
            </w:pPr>
          </w:p>
        </w:tc>
        <w:tc>
          <w:tcPr>
            <w:tcW w:w="1412" w:type="pct"/>
            <w:noWrap w:val="0"/>
            <w:vAlign w:val="center"/>
          </w:tcPr>
          <w:p w14:paraId="379BC7BB">
            <w:pPr>
              <w:spacing w:line="340" w:lineRule="exact"/>
              <w:jc w:val="left"/>
              <w:rPr>
                <w:rFonts w:hint="eastAsia" w:ascii="宋体" w:hAnsi="宋体"/>
                <w:color w:val="000000" w:themeColor="text1"/>
                <w:sz w:val="24"/>
                <w:highlight w:val="none"/>
                <w14:textFill>
                  <w14:solidFill>
                    <w14:schemeClr w14:val="tx1"/>
                  </w14:solidFill>
                </w14:textFill>
              </w:rPr>
            </w:pPr>
          </w:p>
        </w:tc>
        <w:tc>
          <w:tcPr>
            <w:tcW w:w="778" w:type="pct"/>
            <w:noWrap w:val="0"/>
          </w:tcPr>
          <w:p w14:paraId="2E0E6B01">
            <w:pPr>
              <w:spacing w:line="340" w:lineRule="exact"/>
              <w:jc w:val="left"/>
              <w:rPr>
                <w:rFonts w:hint="eastAsia" w:ascii="宋体" w:hAnsi="宋体"/>
                <w:color w:val="000000" w:themeColor="text1"/>
                <w:sz w:val="24"/>
                <w:highlight w:val="none"/>
                <w14:textFill>
                  <w14:solidFill>
                    <w14:schemeClr w14:val="tx1"/>
                  </w14:solidFill>
                </w14:textFill>
              </w:rPr>
            </w:pPr>
          </w:p>
        </w:tc>
      </w:tr>
    </w:tbl>
    <w:p w14:paraId="084A3162">
      <w:pPr>
        <w:pStyle w:val="3"/>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注：</w:t>
      </w:r>
    </w:p>
    <w:p w14:paraId="76FE5DAC">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1.投标人提交的投标文件中与招标文件第三部分“项目需求”中的技术部分的要求，应逐条填列在偏离表中。</w:t>
      </w:r>
    </w:p>
    <w:p w14:paraId="1D283A33">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2.“偏离说明”一栏选择“正偏离”“无偏离”“负偏离”进行填写。正偏离、无偏离的确认和负偏离的是否响应招标文件，由评委认定。</w:t>
      </w:r>
    </w:p>
    <w:p w14:paraId="28A55DAC">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3.投标人如果虚假响应，将被暂停参加采购人组织政府采购活动。</w:t>
      </w:r>
    </w:p>
    <w:p w14:paraId="0C9FBDD6">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4.投标人若提供其他增值服务，可以在表中自行据实填写。</w:t>
      </w:r>
    </w:p>
    <w:p w14:paraId="7E2EA039">
      <w:pP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p>
    <w:p w14:paraId="5295A325">
      <w:pPr>
        <w:pStyle w:val="723"/>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10</w:t>
      </w:r>
    </w:p>
    <w:p w14:paraId="28459229">
      <w:pPr>
        <w:pStyle w:val="729"/>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开标一览表</w:t>
      </w:r>
    </w:p>
    <w:p w14:paraId="618ED3FC">
      <w:pPr>
        <w:pStyle w:val="3"/>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投标人全称（加盖公章）：</w:t>
      </w:r>
    </w:p>
    <w:p w14:paraId="35998F0F">
      <w:pPr>
        <w:pStyle w:val="3"/>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项目名称：</w:t>
      </w:r>
    </w:p>
    <w:p w14:paraId="782CB4EE">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p>
    <w:p w14:paraId="24A1BAB9">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分包号：</w:t>
      </w:r>
    </w:p>
    <w:tbl>
      <w:tblPr>
        <w:tblStyle w:val="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29"/>
        <w:gridCol w:w="4588"/>
      </w:tblGrid>
      <w:tr w14:paraId="7FA06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68" w:type="pct"/>
            <w:noWrap w:val="0"/>
          </w:tcPr>
          <w:p w14:paraId="1823DC49">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投标货物、服务名称</w:t>
            </w:r>
          </w:p>
        </w:tc>
        <w:tc>
          <w:tcPr>
            <w:tcW w:w="2631" w:type="pct"/>
            <w:noWrap w:val="0"/>
          </w:tcPr>
          <w:p w14:paraId="69A1ACCD">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投标总报价</w:t>
            </w:r>
          </w:p>
        </w:tc>
      </w:tr>
      <w:tr w14:paraId="2948D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2368" w:type="pct"/>
            <w:noWrap w:val="0"/>
          </w:tcPr>
          <w:p w14:paraId="3FED9FB2">
            <w:pPr>
              <w:rPr>
                <w:rFonts w:hint="eastAsia" w:ascii="宋体" w:hAnsi="宋体"/>
                <w:color w:val="000000" w:themeColor="text1"/>
                <w:szCs w:val="22"/>
                <w:highlight w:val="none"/>
                <w14:textFill>
                  <w14:solidFill>
                    <w14:schemeClr w14:val="tx1"/>
                  </w14:solidFill>
                </w14:textFill>
              </w:rPr>
            </w:pPr>
          </w:p>
        </w:tc>
        <w:tc>
          <w:tcPr>
            <w:tcW w:w="2631" w:type="pct"/>
            <w:noWrap w:val="0"/>
          </w:tcPr>
          <w:p w14:paraId="40651C5B">
            <w:pPr>
              <w:rPr>
                <w:rFonts w:hint="eastAsia"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大写：</w:t>
            </w:r>
          </w:p>
          <w:p w14:paraId="187AEC7C">
            <w:pPr>
              <w:rPr>
                <w:rFonts w:hint="eastAsia" w:ascii="宋体" w:hAnsi="宋体"/>
                <w:color w:val="000000" w:themeColor="text1"/>
                <w:szCs w:val="22"/>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小写：元（人民币）</w:t>
            </w:r>
          </w:p>
        </w:tc>
      </w:tr>
    </w:tbl>
    <w:p w14:paraId="17EE7286">
      <w:pPr>
        <w:spacing w:after="120" w:line="360" w:lineRule="auto"/>
        <w:ind w:left="480"/>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t>日期：</w:t>
      </w:r>
    </w:p>
    <w:p w14:paraId="5276914D">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填写说明：</w:t>
      </w:r>
    </w:p>
    <w:p w14:paraId="4C23D9DE">
      <w:pPr>
        <w:pStyle w:val="3"/>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1.开标一览表必须加盖投标单位公章（复印件无效）。</w:t>
      </w:r>
    </w:p>
    <w:p w14:paraId="5BFFE0FB">
      <w:pPr>
        <w:pStyle w:val="3"/>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2.如有分包，投标人投任何一个包的标的，都需单独填写开标一览表。</w:t>
      </w:r>
    </w:p>
    <w:p w14:paraId="5A9478FA">
      <w:pPr>
        <w:pStyle w:val="3"/>
        <w:ind w:firstLine="480"/>
        <w:rPr>
          <w:color w:val="000000" w:themeColor="text1"/>
          <w:highlight w:val="none"/>
          <w:u w:val="single"/>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3.</w:t>
      </w:r>
      <w:r>
        <w:rPr>
          <w:color w:val="000000" w:themeColor="text1"/>
          <w:highlight w:val="none"/>
          <w:u w:val="single"/>
          <w14:textFill>
            <w14:solidFill>
              <w14:schemeClr w14:val="tx1"/>
            </w14:solidFill>
          </w14:textFill>
        </w:rPr>
        <w:t>每项货物、服务等只允许有一个报价，任何有选择的报价将不予接受，将作为无效投标文件处理。</w:t>
      </w:r>
    </w:p>
    <w:p w14:paraId="44719C55">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4FAC9410">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45F6203F">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2148A40B">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7BF075A6">
      <w:pPr>
        <w:spacing w:line="400" w:lineRule="exact"/>
        <w:ind w:firstLine="540"/>
        <w:contextualSpacing/>
        <w:rPr>
          <w:rFonts w:hint="eastAsia" w:ascii="宋体" w:hAnsi="宋体" w:cs="宋体"/>
          <w:b/>
          <w:color w:val="000000" w:themeColor="text1"/>
          <w:sz w:val="28"/>
          <w:szCs w:val="28"/>
          <w:highlight w:val="none"/>
          <w14:textFill>
            <w14:solidFill>
              <w14:schemeClr w14:val="tx1"/>
            </w14:solidFill>
          </w14:textFill>
        </w:rPr>
      </w:pPr>
    </w:p>
    <w:p w14:paraId="36FAEB93">
      <w:pPr>
        <w:spacing w:line="400" w:lineRule="exact"/>
        <w:contextualSpacing/>
        <w:rPr>
          <w:rFonts w:hint="eastAsia" w:ascii="宋体" w:hAnsi="宋体" w:cs="宋体"/>
          <w:b/>
          <w:color w:val="000000" w:themeColor="text1"/>
          <w:sz w:val="28"/>
          <w:szCs w:val="28"/>
          <w:highlight w:val="none"/>
          <w14:textFill>
            <w14:solidFill>
              <w14:schemeClr w14:val="tx1"/>
            </w14:solidFill>
          </w14:textFill>
        </w:rPr>
      </w:pPr>
    </w:p>
    <w:p w14:paraId="5C59B156">
      <w:pPr>
        <w:pStyle w:val="723"/>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11</w:t>
      </w:r>
    </w:p>
    <w:p w14:paraId="47BBF5EE">
      <w:pPr>
        <w:pStyle w:val="3"/>
        <w:ind w:firstLine="48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分项报价明细表</w:t>
      </w:r>
    </w:p>
    <w:p w14:paraId="2E10829C">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p>
    <w:p w14:paraId="20BA627C">
      <w:pPr>
        <w:pStyle w:val="3"/>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p>
    <w:p w14:paraId="56CF314E">
      <w:pPr>
        <w:spacing w:after="120" w:line="360" w:lineRule="auto"/>
        <w:ind w:left="480"/>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采购代理编号：</w:t>
      </w:r>
      <w:r>
        <w:rPr>
          <w:color w:val="000000" w:themeColor="text1"/>
          <w:sz w:val="24"/>
          <w:highlight w:val="none"/>
          <w14:textFill>
            <w14:solidFill>
              <w14:schemeClr w14:val="tx1"/>
            </w14:solidFill>
          </w14:textFill>
        </w:rPr>
        <w:t xml:space="preserve">                包号：          </w:t>
      </w:r>
      <w:r>
        <w:rPr>
          <w:rFonts w:hint="eastAsia"/>
          <w:bCs/>
          <w:color w:val="000000" w:themeColor="text1"/>
          <w:sz w:val="24"/>
          <w:highlight w:val="none"/>
          <w14:textFill>
            <w14:solidFill>
              <w14:schemeClr w14:val="tx1"/>
            </w14:solidFill>
          </w14:textFill>
        </w:rPr>
        <w:t>金额单位：人民币万元</w:t>
      </w:r>
    </w:p>
    <w:tbl>
      <w:tblPr>
        <w:tblStyle w:val="62"/>
        <w:tblW w:w="4997" w:type="pct"/>
        <w:tblInd w:w="0" w:type="dxa"/>
        <w:tblLayout w:type="autofit"/>
        <w:tblCellMar>
          <w:top w:w="0" w:type="dxa"/>
          <w:left w:w="108" w:type="dxa"/>
          <w:bottom w:w="0" w:type="dxa"/>
          <w:right w:w="108" w:type="dxa"/>
        </w:tblCellMar>
      </w:tblPr>
      <w:tblGrid>
        <w:gridCol w:w="686"/>
        <w:gridCol w:w="3259"/>
        <w:gridCol w:w="1193"/>
        <w:gridCol w:w="1193"/>
        <w:gridCol w:w="1191"/>
        <w:gridCol w:w="1193"/>
      </w:tblGrid>
      <w:tr w14:paraId="2102BE50">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noWrap w:val="0"/>
          </w:tcPr>
          <w:p w14:paraId="23CDF184">
            <w:pPr>
              <w:spacing w:line="500" w:lineRule="exact"/>
              <w:ind w:right="-5"/>
              <w:jc w:val="center"/>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序号</w:t>
            </w:r>
          </w:p>
        </w:tc>
        <w:tc>
          <w:tcPr>
            <w:tcW w:w="1869" w:type="pct"/>
            <w:tcBorders>
              <w:top w:val="single" w:color="auto" w:sz="4" w:space="0"/>
              <w:left w:val="single" w:color="auto" w:sz="6" w:space="0"/>
              <w:bottom w:val="single" w:color="auto" w:sz="4" w:space="0"/>
              <w:right w:val="single" w:color="auto" w:sz="4" w:space="0"/>
            </w:tcBorders>
            <w:noWrap w:val="0"/>
          </w:tcPr>
          <w:p w14:paraId="0596E5DF">
            <w:pPr>
              <w:spacing w:line="500" w:lineRule="exact"/>
              <w:ind w:right="-5"/>
              <w:jc w:val="center"/>
              <w:rPr>
                <w:rFonts w:hint="default" w:eastAsia="宋体"/>
                <w:b w:val="0"/>
                <w:color w:val="000000" w:themeColor="text1"/>
                <w:position w:val="0"/>
                <w:szCs w:val="24"/>
                <w:highlight w:val="none"/>
                <w:lang w:val="en-US" w:eastAsia="zh-CN"/>
                <w14:textFill>
                  <w14:solidFill>
                    <w14:schemeClr w14:val="tx1"/>
                  </w14:solidFill>
                </w14:textFill>
              </w:rPr>
            </w:pPr>
            <w:r>
              <w:rPr>
                <w:rFonts w:hint="eastAsia"/>
                <w:b w:val="0"/>
                <w:color w:val="000000" w:themeColor="text1"/>
                <w:position w:val="0"/>
                <w:szCs w:val="24"/>
                <w:highlight w:val="none"/>
                <w:lang w:val="en-US" w:eastAsia="zh-CN"/>
                <w14:textFill>
                  <w14:solidFill>
                    <w14:schemeClr w14:val="tx1"/>
                  </w14:solidFill>
                </w14:textFill>
              </w:rPr>
              <w:t>名称</w:t>
            </w:r>
          </w:p>
        </w:tc>
        <w:tc>
          <w:tcPr>
            <w:tcW w:w="684" w:type="pct"/>
            <w:tcBorders>
              <w:top w:val="single" w:color="auto" w:sz="4" w:space="0"/>
              <w:left w:val="single" w:color="auto" w:sz="6" w:space="0"/>
              <w:bottom w:val="single" w:color="auto" w:sz="4" w:space="0"/>
              <w:right w:val="single" w:color="auto" w:sz="6" w:space="0"/>
            </w:tcBorders>
            <w:noWrap w:val="0"/>
          </w:tcPr>
          <w:p w14:paraId="6FAE793A">
            <w:pPr>
              <w:spacing w:line="500" w:lineRule="exact"/>
              <w:ind w:right="-5"/>
              <w:jc w:val="center"/>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单位</w:t>
            </w:r>
          </w:p>
        </w:tc>
        <w:tc>
          <w:tcPr>
            <w:tcW w:w="684" w:type="pct"/>
            <w:tcBorders>
              <w:top w:val="single" w:color="auto" w:sz="4" w:space="0"/>
              <w:left w:val="single" w:color="auto" w:sz="6" w:space="0"/>
              <w:bottom w:val="single" w:color="auto" w:sz="4" w:space="0"/>
              <w:right w:val="single" w:color="auto" w:sz="6" w:space="0"/>
            </w:tcBorders>
            <w:noWrap w:val="0"/>
          </w:tcPr>
          <w:p w14:paraId="0E18FD3F">
            <w:pPr>
              <w:spacing w:line="500" w:lineRule="exact"/>
              <w:ind w:right="-5"/>
              <w:jc w:val="center"/>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数量</w:t>
            </w:r>
          </w:p>
        </w:tc>
        <w:tc>
          <w:tcPr>
            <w:tcW w:w="683" w:type="pct"/>
            <w:tcBorders>
              <w:top w:val="single" w:color="auto" w:sz="4" w:space="0"/>
              <w:left w:val="single" w:color="auto" w:sz="6" w:space="0"/>
              <w:bottom w:val="single" w:color="auto" w:sz="4" w:space="0"/>
              <w:right w:val="single" w:color="auto" w:sz="6" w:space="0"/>
            </w:tcBorders>
            <w:noWrap w:val="0"/>
          </w:tcPr>
          <w:p w14:paraId="10068359">
            <w:pPr>
              <w:spacing w:line="500" w:lineRule="exact"/>
              <w:ind w:right="-5"/>
              <w:jc w:val="center"/>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单价</w:t>
            </w:r>
          </w:p>
        </w:tc>
        <w:tc>
          <w:tcPr>
            <w:tcW w:w="684" w:type="pct"/>
            <w:tcBorders>
              <w:top w:val="single" w:color="auto" w:sz="4" w:space="0"/>
              <w:left w:val="single" w:color="auto" w:sz="6" w:space="0"/>
              <w:bottom w:val="single" w:color="auto" w:sz="4" w:space="0"/>
              <w:right w:val="single" w:color="auto" w:sz="6" w:space="0"/>
            </w:tcBorders>
            <w:noWrap w:val="0"/>
          </w:tcPr>
          <w:p w14:paraId="45DB191E">
            <w:pPr>
              <w:spacing w:line="500" w:lineRule="exact"/>
              <w:ind w:right="-5"/>
              <w:jc w:val="center"/>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总价</w:t>
            </w:r>
          </w:p>
        </w:tc>
      </w:tr>
      <w:tr w14:paraId="627BC263">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noWrap w:val="0"/>
          </w:tcPr>
          <w:p w14:paraId="04598AB5">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1869" w:type="pct"/>
            <w:tcBorders>
              <w:top w:val="single" w:color="auto" w:sz="4" w:space="0"/>
              <w:left w:val="single" w:color="auto" w:sz="6" w:space="0"/>
              <w:bottom w:val="single" w:color="auto" w:sz="4" w:space="0"/>
              <w:right w:val="single" w:color="auto" w:sz="4" w:space="0"/>
            </w:tcBorders>
            <w:noWrap w:val="0"/>
          </w:tcPr>
          <w:p w14:paraId="3251D1B3">
            <w:pPr>
              <w:spacing w:line="500" w:lineRule="exact"/>
              <w:ind w:right="-5"/>
              <w:jc w:val="center"/>
              <w:rPr>
                <w:rFonts w:ascii="Times New Roman"/>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656409A7">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0BECAB65">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3" w:type="pct"/>
            <w:tcBorders>
              <w:top w:val="single" w:color="auto" w:sz="4" w:space="0"/>
              <w:left w:val="single" w:color="auto" w:sz="6" w:space="0"/>
              <w:bottom w:val="single" w:color="auto" w:sz="4" w:space="0"/>
              <w:right w:val="single" w:color="auto" w:sz="6" w:space="0"/>
            </w:tcBorders>
            <w:noWrap w:val="0"/>
          </w:tcPr>
          <w:p w14:paraId="1E11DEC4">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4E622198">
            <w:pPr>
              <w:spacing w:line="500" w:lineRule="exact"/>
              <w:ind w:right="-5"/>
              <w:jc w:val="center"/>
              <w:rPr>
                <w:b w:val="0"/>
                <w:color w:val="000000" w:themeColor="text1"/>
                <w:position w:val="0"/>
                <w:sz w:val="21"/>
                <w:szCs w:val="24"/>
                <w:highlight w:val="none"/>
                <w14:textFill>
                  <w14:solidFill>
                    <w14:schemeClr w14:val="tx1"/>
                  </w14:solidFill>
                </w14:textFill>
              </w:rPr>
            </w:pPr>
          </w:p>
        </w:tc>
      </w:tr>
      <w:tr w14:paraId="406ED4DD">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noWrap w:val="0"/>
          </w:tcPr>
          <w:p w14:paraId="37A4847A">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1869" w:type="pct"/>
            <w:tcBorders>
              <w:top w:val="single" w:color="auto" w:sz="4" w:space="0"/>
              <w:left w:val="single" w:color="auto" w:sz="6" w:space="0"/>
              <w:bottom w:val="single" w:color="auto" w:sz="4" w:space="0"/>
              <w:right w:val="single" w:color="auto" w:sz="4" w:space="0"/>
            </w:tcBorders>
            <w:noWrap w:val="0"/>
          </w:tcPr>
          <w:p w14:paraId="537C4AD7">
            <w:pPr>
              <w:spacing w:line="500" w:lineRule="exact"/>
              <w:ind w:right="-5"/>
              <w:jc w:val="center"/>
              <w:rPr>
                <w:rFonts w:ascii="Times New Roman"/>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16CC35A4">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2C1497AC">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3" w:type="pct"/>
            <w:tcBorders>
              <w:top w:val="single" w:color="auto" w:sz="4" w:space="0"/>
              <w:left w:val="single" w:color="auto" w:sz="6" w:space="0"/>
              <w:bottom w:val="single" w:color="auto" w:sz="4" w:space="0"/>
              <w:right w:val="single" w:color="auto" w:sz="6" w:space="0"/>
            </w:tcBorders>
            <w:noWrap w:val="0"/>
          </w:tcPr>
          <w:p w14:paraId="7ED8F347">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0E30587E">
            <w:pPr>
              <w:spacing w:line="500" w:lineRule="exact"/>
              <w:ind w:right="-5"/>
              <w:jc w:val="center"/>
              <w:rPr>
                <w:b w:val="0"/>
                <w:color w:val="000000" w:themeColor="text1"/>
                <w:position w:val="0"/>
                <w:sz w:val="21"/>
                <w:szCs w:val="24"/>
                <w:highlight w:val="none"/>
                <w14:textFill>
                  <w14:solidFill>
                    <w14:schemeClr w14:val="tx1"/>
                  </w14:solidFill>
                </w14:textFill>
              </w:rPr>
            </w:pPr>
          </w:p>
        </w:tc>
      </w:tr>
      <w:tr w14:paraId="3D98927A">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noWrap w:val="0"/>
          </w:tcPr>
          <w:p w14:paraId="6818A6FA">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1869" w:type="pct"/>
            <w:tcBorders>
              <w:top w:val="single" w:color="auto" w:sz="4" w:space="0"/>
              <w:left w:val="single" w:color="auto" w:sz="6" w:space="0"/>
              <w:bottom w:val="single" w:color="auto" w:sz="4" w:space="0"/>
              <w:right w:val="single" w:color="auto" w:sz="4" w:space="0"/>
            </w:tcBorders>
            <w:noWrap w:val="0"/>
          </w:tcPr>
          <w:p w14:paraId="226BD7D8">
            <w:pPr>
              <w:spacing w:line="500" w:lineRule="exact"/>
              <w:ind w:right="-5"/>
              <w:jc w:val="center"/>
              <w:rPr>
                <w:rFonts w:ascii="Times New Roman"/>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65E7DEC3">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474B7F9A">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3" w:type="pct"/>
            <w:tcBorders>
              <w:top w:val="single" w:color="auto" w:sz="4" w:space="0"/>
              <w:left w:val="single" w:color="auto" w:sz="6" w:space="0"/>
              <w:bottom w:val="single" w:color="auto" w:sz="4" w:space="0"/>
              <w:right w:val="single" w:color="auto" w:sz="6" w:space="0"/>
            </w:tcBorders>
            <w:noWrap w:val="0"/>
          </w:tcPr>
          <w:p w14:paraId="0EDDCBDF">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5C69290A">
            <w:pPr>
              <w:spacing w:line="500" w:lineRule="exact"/>
              <w:ind w:right="-5"/>
              <w:jc w:val="center"/>
              <w:rPr>
                <w:b w:val="0"/>
                <w:color w:val="000000" w:themeColor="text1"/>
                <w:position w:val="0"/>
                <w:sz w:val="21"/>
                <w:szCs w:val="24"/>
                <w:highlight w:val="none"/>
                <w14:textFill>
                  <w14:solidFill>
                    <w14:schemeClr w14:val="tx1"/>
                  </w14:solidFill>
                </w14:textFill>
              </w:rPr>
            </w:pPr>
          </w:p>
        </w:tc>
      </w:tr>
      <w:tr w14:paraId="475FD1DE">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noWrap w:val="0"/>
          </w:tcPr>
          <w:p w14:paraId="0DCF23B7">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1869" w:type="pct"/>
            <w:tcBorders>
              <w:top w:val="single" w:color="auto" w:sz="4" w:space="0"/>
              <w:left w:val="single" w:color="auto" w:sz="6" w:space="0"/>
              <w:bottom w:val="single" w:color="auto" w:sz="4" w:space="0"/>
              <w:right w:val="single" w:color="auto" w:sz="4" w:space="0"/>
            </w:tcBorders>
            <w:noWrap w:val="0"/>
          </w:tcPr>
          <w:p w14:paraId="00717559">
            <w:pPr>
              <w:spacing w:line="500" w:lineRule="exact"/>
              <w:ind w:right="-5"/>
              <w:jc w:val="center"/>
              <w:rPr>
                <w:rFonts w:ascii="Times New Roman"/>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3998DEFE">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0BE65EEB">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3" w:type="pct"/>
            <w:tcBorders>
              <w:top w:val="single" w:color="auto" w:sz="4" w:space="0"/>
              <w:left w:val="single" w:color="auto" w:sz="6" w:space="0"/>
              <w:bottom w:val="single" w:color="auto" w:sz="4" w:space="0"/>
              <w:right w:val="single" w:color="auto" w:sz="6" w:space="0"/>
            </w:tcBorders>
            <w:noWrap w:val="0"/>
          </w:tcPr>
          <w:p w14:paraId="4F5B451E">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70AE73DF">
            <w:pPr>
              <w:spacing w:line="500" w:lineRule="exact"/>
              <w:ind w:right="-5"/>
              <w:jc w:val="center"/>
              <w:rPr>
                <w:b w:val="0"/>
                <w:color w:val="000000" w:themeColor="text1"/>
                <w:position w:val="0"/>
                <w:sz w:val="21"/>
                <w:szCs w:val="24"/>
                <w:highlight w:val="none"/>
                <w14:textFill>
                  <w14:solidFill>
                    <w14:schemeClr w14:val="tx1"/>
                  </w14:solidFill>
                </w14:textFill>
              </w:rPr>
            </w:pPr>
          </w:p>
        </w:tc>
      </w:tr>
      <w:tr w14:paraId="53E88EC0">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noWrap w:val="0"/>
          </w:tcPr>
          <w:p w14:paraId="752A0A55">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1869" w:type="pct"/>
            <w:tcBorders>
              <w:top w:val="single" w:color="auto" w:sz="4" w:space="0"/>
              <w:left w:val="single" w:color="auto" w:sz="6" w:space="0"/>
              <w:bottom w:val="single" w:color="auto" w:sz="4" w:space="0"/>
              <w:right w:val="single" w:color="auto" w:sz="4" w:space="0"/>
            </w:tcBorders>
            <w:noWrap w:val="0"/>
          </w:tcPr>
          <w:p w14:paraId="56D2CE10">
            <w:pPr>
              <w:spacing w:line="500" w:lineRule="exact"/>
              <w:ind w:right="-5"/>
              <w:jc w:val="center"/>
              <w:rPr>
                <w:rFonts w:ascii="Times New Roman"/>
                <w:b w:val="0"/>
                <w:color w:val="000000" w:themeColor="text1"/>
                <w:position w:val="0"/>
                <w:szCs w:val="24"/>
                <w:highlight w:val="none"/>
                <w14:textFill>
                  <w14:solidFill>
                    <w14:schemeClr w14:val="tx1"/>
                  </w14:solidFill>
                </w14:textFill>
              </w:rPr>
            </w:pPr>
            <w:r>
              <w:rPr>
                <w:rFonts w:hint="eastAsia" w:ascii="Times New Roman"/>
                <w:b w:val="0"/>
                <w:color w:val="000000" w:themeColor="text1"/>
                <w:position w:val="0"/>
                <w:szCs w:val="24"/>
                <w:highlight w:val="none"/>
                <w14:textFill>
                  <w14:solidFill>
                    <w14:schemeClr w14:val="tx1"/>
                  </w14:solidFill>
                </w14:textFill>
              </w:rPr>
              <w:t>合计</w:t>
            </w:r>
          </w:p>
        </w:tc>
        <w:tc>
          <w:tcPr>
            <w:tcW w:w="684" w:type="pct"/>
            <w:tcBorders>
              <w:top w:val="single" w:color="auto" w:sz="4" w:space="0"/>
              <w:left w:val="single" w:color="auto" w:sz="6" w:space="0"/>
              <w:bottom w:val="single" w:color="auto" w:sz="4" w:space="0"/>
              <w:right w:val="single" w:color="auto" w:sz="6" w:space="0"/>
            </w:tcBorders>
            <w:noWrap w:val="0"/>
          </w:tcPr>
          <w:p w14:paraId="21B19234">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62EE2EA9">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3" w:type="pct"/>
            <w:tcBorders>
              <w:top w:val="single" w:color="auto" w:sz="4" w:space="0"/>
              <w:left w:val="single" w:color="auto" w:sz="6" w:space="0"/>
              <w:bottom w:val="single" w:color="auto" w:sz="4" w:space="0"/>
              <w:right w:val="single" w:color="auto" w:sz="6" w:space="0"/>
            </w:tcBorders>
            <w:noWrap w:val="0"/>
          </w:tcPr>
          <w:p w14:paraId="716A47FF">
            <w:pPr>
              <w:spacing w:line="500" w:lineRule="exact"/>
              <w:ind w:right="-5"/>
              <w:jc w:val="center"/>
              <w:rPr>
                <w:b w:val="0"/>
                <w:color w:val="000000" w:themeColor="text1"/>
                <w:position w:val="0"/>
                <w:sz w:val="21"/>
                <w:szCs w:val="24"/>
                <w:highlight w:val="none"/>
                <w14:textFill>
                  <w14:solidFill>
                    <w14:schemeClr w14:val="tx1"/>
                  </w14:solidFill>
                </w14:textFill>
              </w:rPr>
            </w:pPr>
          </w:p>
        </w:tc>
        <w:tc>
          <w:tcPr>
            <w:tcW w:w="684" w:type="pct"/>
            <w:tcBorders>
              <w:top w:val="single" w:color="auto" w:sz="4" w:space="0"/>
              <w:left w:val="single" w:color="auto" w:sz="6" w:space="0"/>
              <w:bottom w:val="single" w:color="auto" w:sz="4" w:space="0"/>
              <w:right w:val="single" w:color="auto" w:sz="6" w:space="0"/>
            </w:tcBorders>
            <w:noWrap w:val="0"/>
          </w:tcPr>
          <w:p w14:paraId="5AD6BF8D">
            <w:pPr>
              <w:spacing w:line="500" w:lineRule="exact"/>
              <w:ind w:right="-5"/>
              <w:jc w:val="center"/>
              <w:rPr>
                <w:b w:val="0"/>
                <w:color w:val="000000" w:themeColor="text1"/>
                <w:position w:val="0"/>
                <w:sz w:val="21"/>
                <w:szCs w:val="24"/>
                <w:highlight w:val="none"/>
                <w14:textFill>
                  <w14:solidFill>
                    <w14:schemeClr w14:val="tx1"/>
                  </w14:solidFill>
                </w14:textFill>
              </w:rPr>
            </w:pPr>
          </w:p>
        </w:tc>
      </w:tr>
    </w:tbl>
    <w:p w14:paraId="3672A25F">
      <w:pPr>
        <w:spacing w:after="120" w:line="360" w:lineRule="auto"/>
        <w:ind w:firstLine="480"/>
        <w:rPr>
          <w:rFonts w:hint="eastAsia"/>
          <w:color w:val="000000" w:themeColor="text1"/>
          <w:sz w:val="24"/>
          <w:highlight w:val="none"/>
          <w14:textFill>
            <w14:solidFill>
              <w14:schemeClr w14:val="tx1"/>
            </w14:solidFill>
          </w14:textFill>
        </w:rPr>
      </w:pPr>
    </w:p>
    <w:p w14:paraId="562D392F">
      <w:pPr>
        <w:spacing w:after="120"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投标人（盖章）：</w:t>
      </w:r>
    </w:p>
    <w:p w14:paraId="5F3CDFDE">
      <w:pPr>
        <w:spacing w:after="120"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投标人授权代表（签字）：</w:t>
      </w:r>
    </w:p>
    <w:p w14:paraId="24C33ACE">
      <w:pPr>
        <w:spacing w:after="120" w:line="360" w:lineRule="auto"/>
        <w:ind w:firstLine="480"/>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w:t>
      </w:r>
    </w:p>
    <w:p w14:paraId="73E6E503">
      <w:pPr>
        <w:pStyle w:val="3"/>
        <w:ind w:firstLine="0"/>
        <w:rPr>
          <w:b/>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t>注：“分项报价表”中“合计”金额应当与“开标一览表”中“投标总价”金额一致。</w:t>
      </w:r>
    </w:p>
    <w:p w14:paraId="6EFFFEA0">
      <w:pPr>
        <w:spacing w:line="500" w:lineRule="exact"/>
        <w:rPr>
          <w:b/>
          <w:bCs/>
          <w:sz w:val="24"/>
          <w:szCs w:val="32"/>
          <w:highlight w:val="none"/>
        </w:rPr>
      </w:pPr>
      <w:r>
        <w:rPr>
          <w:color w:val="000000" w:themeColor="text1"/>
          <w:highlight w:val="none"/>
          <w14:textFill>
            <w14:solidFill>
              <w14:schemeClr w14:val="tx1"/>
            </w14:solidFill>
          </w14:textFill>
        </w:rPr>
        <w:br w:type="page" w:clear="all"/>
      </w:r>
      <w:r>
        <w:rPr>
          <w:rFonts w:hint="eastAsia"/>
          <w:b/>
          <w:bCs/>
          <w:sz w:val="24"/>
          <w:szCs w:val="32"/>
          <w:highlight w:val="none"/>
        </w:rPr>
        <w:t>附件1</w:t>
      </w:r>
      <w:r>
        <w:rPr>
          <w:rFonts w:hint="eastAsia"/>
          <w:b/>
          <w:bCs/>
          <w:sz w:val="24"/>
          <w:szCs w:val="32"/>
          <w:highlight w:val="none"/>
          <w:lang w:val="en-US" w:eastAsia="zh-CN"/>
        </w:rPr>
        <w:t>2</w:t>
      </w:r>
      <w:r>
        <w:rPr>
          <w:rFonts w:hint="eastAsia"/>
          <w:b/>
          <w:bCs/>
          <w:sz w:val="24"/>
          <w:szCs w:val="32"/>
          <w:highlight w:val="none"/>
        </w:rPr>
        <w:t>：</w:t>
      </w:r>
    </w:p>
    <w:p w14:paraId="52894603">
      <w:pPr>
        <w:spacing w:line="500" w:lineRule="exact"/>
        <w:jc w:val="center"/>
        <w:rPr>
          <w:b/>
          <w:bCs/>
          <w:sz w:val="24"/>
          <w:szCs w:val="32"/>
          <w:highlight w:val="none"/>
        </w:rPr>
      </w:pPr>
      <w:r>
        <w:rPr>
          <w:rFonts w:hint="eastAsia"/>
          <w:b/>
          <w:bCs/>
          <w:sz w:val="24"/>
          <w:szCs w:val="32"/>
          <w:highlight w:val="none"/>
        </w:rPr>
        <w:t>质保期满后的备品备件明细表</w:t>
      </w:r>
    </w:p>
    <w:p w14:paraId="52AE07BF">
      <w:pPr>
        <w:pStyle w:val="3"/>
        <w:ind w:firstLine="480"/>
        <w:rPr>
          <w:highlight w:val="none"/>
        </w:rPr>
      </w:pPr>
      <w:r>
        <w:rPr>
          <w:highlight w:val="none"/>
        </w:rPr>
        <w:t>项目名称：</w:t>
      </w:r>
    </w:p>
    <w:p w14:paraId="35FB2063">
      <w:pPr>
        <w:pStyle w:val="3"/>
        <w:ind w:firstLine="480"/>
        <w:rPr>
          <w:b/>
          <w:highlight w:val="none"/>
        </w:rPr>
      </w:pPr>
      <w:r>
        <w:rPr>
          <w:highlight w:val="none"/>
        </w:rPr>
        <w:t>项目编号：</w:t>
      </w:r>
    </w:p>
    <w:p w14:paraId="0272695B">
      <w:pPr>
        <w:spacing w:after="120" w:line="360" w:lineRule="auto"/>
        <w:ind w:left="480"/>
        <w:rPr>
          <w:highlight w:val="none"/>
        </w:rPr>
      </w:pPr>
      <w:r>
        <w:rPr>
          <w:rFonts w:hint="eastAsia"/>
          <w:sz w:val="24"/>
          <w:highlight w:val="none"/>
        </w:rPr>
        <w:t>采购代理编号：</w:t>
      </w:r>
      <w:r>
        <w:rPr>
          <w:sz w:val="24"/>
          <w:highlight w:val="none"/>
        </w:rPr>
        <w:t xml:space="preserve">                  包号：        </w:t>
      </w:r>
      <w:r>
        <w:rPr>
          <w:rFonts w:hint="eastAsia"/>
          <w:bCs/>
          <w:sz w:val="24"/>
          <w:highlight w:val="none"/>
        </w:rPr>
        <w:t>金额单位：人民币元</w:t>
      </w:r>
    </w:p>
    <w:tbl>
      <w:tblPr>
        <w:tblStyle w:val="62"/>
        <w:tblW w:w="9092" w:type="dxa"/>
        <w:tblInd w:w="0" w:type="dxa"/>
        <w:tblLayout w:type="fixed"/>
        <w:tblCellMar>
          <w:top w:w="0" w:type="dxa"/>
          <w:left w:w="108" w:type="dxa"/>
          <w:bottom w:w="0" w:type="dxa"/>
          <w:right w:w="108" w:type="dxa"/>
        </w:tblCellMar>
      </w:tblPr>
      <w:tblGrid>
        <w:gridCol w:w="468"/>
        <w:gridCol w:w="1635"/>
        <w:gridCol w:w="1319"/>
        <w:gridCol w:w="1155"/>
        <w:gridCol w:w="1155"/>
        <w:gridCol w:w="1155"/>
        <w:gridCol w:w="2205"/>
      </w:tblGrid>
      <w:tr w14:paraId="72CF505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center"/>
          </w:tcPr>
          <w:p w14:paraId="1D8AAD5B">
            <w:pPr>
              <w:spacing w:line="500" w:lineRule="exact"/>
              <w:ind w:right="-5"/>
              <w:rPr>
                <w:highlight w:val="none"/>
              </w:rPr>
            </w:pPr>
            <w:r>
              <w:rPr>
                <w:rFonts w:hint="eastAsia"/>
                <w:highlight w:val="none"/>
              </w:rPr>
              <w:t>序号</w:t>
            </w:r>
          </w:p>
        </w:tc>
        <w:tc>
          <w:tcPr>
            <w:tcW w:w="1635" w:type="dxa"/>
            <w:tcBorders>
              <w:top w:val="single" w:color="auto" w:sz="4" w:space="0"/>
              <w:left w:val="single" w:color="auto" w:sz="6" w:space="0"/>
              <w:bottom w:val="single" w:color="auto" w:sz="4" w:space="0"/>
              <w:right w:val="single" w:color="auto" w:sz="6" w:space="0"/>
            </w:tcBorders>
            <w:noWrap w:val="0"/>
            <w:vAlign w:val="center"/>
          </w:tcPr>
          <w:p w14:paraId="387EDE72">
            <w:pPr>
              <w:tabs>
                <w:tab w:val="left" w:pos="972"/>
              </w:tabs>
              <w:spacing w:line="500" w:lineRule="exact"/>
              <w:ind w:right="-5"/>
              <w:jc w:val="center"/>
              <w:rPr>
                <w:highlight w:val="none"/>
              </w:rPr>
            </w:pPr>
            <w:r>
              <w:rPr>
                <w:rFonts w:hint="eastAsia"/>
                <w:highlight w:val="none"/>
              </w:rPr>
              <w:t>备品备件</w:t>
            </w:r>
          </w:p>
          <w:p w14:paraId="731A0FC7">
            <w:pPr>
              <w:tabs>
                <w:tab w:val="left" w:pos="972"/>
              </w:tabs>
              <w:spacing w:line="500" w:lineRule="exact"/>
              <w:ind w:right="-5"/>
              <w:jc w:val="center"/>
              <w:rPr>
                <w:highlight w:val="none"/>
              </w:rPr>
            </w:pPr>
            <w:r>
              <w:rPr>
                <w:rFonts w:hint="eastAsia"/>
                <w:highlight w:val="none"/>
              </w:rPr>
              <w:t>名称</w:t>
            </w:r>
          </w:p>
        </w:tc>
        <w:tc>
          <w:tcPr>
            <w:tcW w:w="1319" w:type="dxa"/>
            <w:tcBorders>
              <w:top w:val="single" w:color="auto" w:sz="4" w:space="0"/>
              <w:left w:val="single" w:color="auto" w:sz="6" w:space="0"/>
              <w:bottom w:val="single" w:color="auto" w:sz="4" w:space="0"/>
              <w:right w:val="single" w:color="auto" w:sz="6" w:space="0"/>
            </w:tcBorders>
            <w:noWrap w:val="0"/>
            <w:vAlign w:val="center"/>
          </w:tcPr>
          <w:p w14:paraId="1C0FF698">
            <w:pPr>
              <w:spacing w:line="500" w:lineRule="exact"/>
              <w:ind w:right="-5"/>
              <w:jc w:val="center"/>
              <w:rPr>
                <w:highlight w:val="none"/>
              </w:rPr>
            </w:pPr>
            <w:r>
              <w:rPr>
                <w:rFonts w:hint="eastAsia"/>
                <w:highlight w:val="none"/>
              </w:rPr>
              <w:t>型号及规格</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0355EE59">
            <w:pPr>
              <w:spacing w:line="500" w:lineRule="exact"/>
              <w:ind w:right="-5"/>
              <w:jc w:val="center"/>
              <w:rPr>
                <w:highlight w:val="none"/>
              </w:rPr>
            </w:pPr>
            <w:r>
              <w:rPr>
                <w:rFonts w:hint="eastAsia"/>
                <w:highlight w:val="none"/>
              </w:rPr>
              <w:t>数量</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1B4CE2A5">
            <w:pPr>
              <w:spacing w:line="500" w:lineRule="exact"/>
              <w:ind w:right="-5"/>
              <w:jc w:val="center"/>
              <w:rPr>
                <w:highlight w:val="none"/>
              </w:rPr>
            </w:pPr>
            <w:r>
              <w:rPr>
                <w:rFonts w:hint="eastAsia"/>
                <w:highlight w:val="none"/>
              </w:rPr>
              <w:t>单位</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41762D93">
            <w:pPr>
              <w:spacing w:line="500" w:lineRule="exact"/>
              <w:ind w:right="-5"/>
              <w:jc w:val="center"/>
              <w:rPr>
                <w:highlight w:val="none"/>
              </w:rPr>
            </w:pPr>
            <w:r>
              <w:rPr>
                <w:rFonts w:hint="eastAsia"/>
                <w:highlight w:val="none"/>
              </w:rPr>
              <w:t>单价</w:t>
            </w:r>
          </w:p>
          <w:p w14:paraId="77D5A4CF">
            <w:pPr>
              <w:spacing w:line="500" w:lineRule="exact"/>
              <w:ind w:right="-5"/>
              <w:jc w:val="center"/>
              <w:rPr>
                <w:highlight w:val="none"/>
              </w:rPr>
            </w:pPr>
            <w:r>
              <w:rPr>
                <w:highlight w:val="none"/>
              </w:rPr>
              <w:t>(</w:t>
            </w:r>
            <w:r>
              <w:rPr>
                <w:rFonts w:hint="eastAsia"/>
                <w:highlight w:val="none"/>
              </w:rPr>
              <w:t>元</w:t>
            </w:r>
            <w:r>
              <w:rPr>
                <w:highlight w:val="none"/>
              </w:rPr>
              <w:t>)</w:t>
            </w:r>
          </w:p>
        </w:tc>
        <w:tc>
          <w:tcPr>
            <w:tcW w:w="2205" w:type="dxa"/>
            <w:tcBorders>
              <w:top w:val="single" w:color="auto" w:sz="4" w:space="0"/>
              <w:left w:val="single" w:color="auto" w:sz="6" w:space="0"/>
              <w:bottom w:val="single" w:color="auto" w:sz="4" w:space="0"/>
              <w:right w:val="single" w:color="auto" w:sz="4" w:space="0"/>
            </w:tcBorders>
            <w:noWrap w:val="0"/>
            <w:vAlign w:val="center"/>
          </w:tcPr>
          <w:p w14:paraId="754E6D07">
            <w:pPr>
              <w:spacing w:line="500" w:lineRule="exact"/>
              <w:ind w:right="-5"/>
              <w:jc w:val="center"/>
              <w:rPr>
                <w:highlight w:val="none"/>
              </w:rPr>
            </w:pPr>
            <w:r>
              <w:rPr>
                <w:rFonts w:hint="eastAsia"/>
                <w:highlight w:val="none"/>
              </w:rPr>
              <w:t>备注</w:t>
            </w:r>
          </w:p>
          <w:p w14:paraId="79D57F09">
            <w:pPr>
              <w:spacing w:line="500" w:lineRule="exact"/>
              <w:ind w:right="-5"/>
              <w:jc w:val="center"/>
              <w:rPr>
                <w:highlight w:val="none"/>
              </w:rPr>
            </w:pPr>
            <w:r>
              <w:rPr>
                <w:rFonts w:hint="eastAsia"/>
                <w:highlight w:val="none"/>
              </w:rPr>
              <w:t>(如外购请注明产地、制造商)</w:t>
            </w:r>
          </w:p>
        </w:tc>
      </w:tr>
      <w:tr w14:paraId="57FDE33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5B828E19">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1DA7E637">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111D4A6D">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6BC3CBB">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6C72230">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AF7A07E">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6D886153">
            <w:pPr>
              <w:spacing w:line="500" w:lineRule="exact"/>
              <w:ind w:right="-5"/>
              <w:rPr>
                <w:rFonts w:ascii="仿宋_GB2312" w:eastAsia="仿宋_GB2312"/>
                <w:highlight w:val="none"/>
              </w:rPr>
            </w:pPr>
          </w:p>
        </w:tc>
      </w:tr>
      <w:tr w14:paraId="493C661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304112E1">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68A0FF48">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355A3056">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9A4AB30">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3977567">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37E9125">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631F7CE2">
            <w:pPr>
              <w:spacing w:line="500" w:lineRule="exact"/>
              <w:ind w:right="-5"/>
              <w:rPr>
                <w:rFonts w:ascii="仿宋_GB2312" w:eastAsia="仿宋_GB2312"/>
                <w:highlight w:val="none"/>
              </w:rPr>
            </w:pPr>
          </w:p>
        </w:tc>
      </w:tr>
      <w:tr w14:paraId="7F627D5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6779D146">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63E85394">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24A1B1F4">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6F56183C">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A6178CB">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3F73D648">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1FAD87BF">
            <w:pPr>
              <w:spacing w:line="500" w:lineRule="exact"/>
              <w:ind w:right="-5"/>
              <w:rPr>
                <w:rFonts w:ascii="仿宋_GB2312" w:eastAsia="仿宋_GB2312"/>
                <w:highlight w:val="none"/>
              </w:rPr>
            </w:pPr>
          </w:p>
        </w:tc>
      </w:tr>
      <w:tr w14:paraId="3D67D72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047B4E05">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3A9F2FDE">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688A9F15">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4BD2D8B">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1C09C95">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00B5615">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15D6A468">
            <w:pPr>
              <w:spacing w:line="500" w:lineRule="exact"/>
              <w:ind w:right="-5"/>
              <w:rPr>
                <w:rFonts w:ascii="仿宋_GB2312" w:eastAsia="仿宋_GB2312"/>
                <w:highlight w:val="none"/>
              </w:rPr>
            </w:pPr>
          </w:p>
        </w:tc>
      </w:tr>
      <w:tr w14:paraId="03FF11F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0DCBCE77">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1EB0BC15">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5C1AF8BC">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3928804">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22C7C13">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614C1C5">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596E8ED1">
            <w:pPr>
              <w:spacing w:line="500" w:lineRule="exact"/>
              <w:ind w:right="-5"/>
              <w:rPr>
                <w:rFonts w:ascii="仿宋_GB2312" w:eastAsia="仿宋_GB2312"/>
                <w:highlight w:val="none"/>
              </w:rPr>
            </w:pPr>
          </w:p>
        </w:tc>
      </w:tr>
      <w:tr w14:paraId="7B07AD2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786522E3">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70030ADD">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07B9D43F">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53F4753">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1D500FA">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60F29345">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0ABECE98">
            <w:pPr>
              <w:spacing w:line="500" w:lineRule="exact"/>
              <w:ind w:right="-5"/>
              <w:rPr>
                <w:rFonts w:ascii="仿宋_GB2312" w:eastAsia="仿宋_GB2312"/>
                <w:highlight w:val="none"/>
              </w:rPr>
            </w:pPr>
          </w:p>
        </w:tc>
      </w:tr>
      <w:tr w14:paraId="4EAA005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13C9FDC7">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3A6F9F31">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457FCD5D">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D91CE09">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F86565C">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653A7D49">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09647210">
            <w:pPr>
              <w:spacing w:line="500" w:lineRule="exact"/>
              <w:ind w:right="-5"/>
              <w:rPr>
                <w:rFonts w:ascii="仿宋_GB2312" w:eastAsia="仿宋_GB2312"/>
                <w:highlight w:val="none"/>
              </w:rPr>
            </w:pPr>
          </w:p>
        </w:tc>
      </w:tr>
      <w:tr w14:paraId="028C26B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37CB6B1D">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28766A71">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14EA1D25">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BF1CC35">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1B6272E">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8B3CC85">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3348B70B">
            <w:pPr>
              <w:spacing w:line="500" w:lineRule="exact"/>
              <w:ind w:right="-5"/>
              <w:rPr>
                <w:rFonts w:ascii="仿宋_GB2312" w:eastAsia="仿宋_GB2312"/>
                <w:highlight w:val="none"/>
              </w:rPr>
            </w:pPr>
          </w:p>
        </w:tc>
      </w:tr>
      <w:tr w14:paraId="3B94569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5AC80B42">
            <w:pPr>
              <w:spacing w:line="500" w:lineRule="exact"/>
              <w:ind w:right="-5"/>
              <w:rPr>
                <w:rFonts w:ascii="仿宋_GB2312" w:eastAsia="仿宋_GB2312"/>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6EF29CEE">
            <w:pPr>
              <w:tabs>
                <w:tab w:val="left" w:pos="972"/>
              </w:tabs>
              <w:spacing w:line="500" w:lineRule="exact"/>
              <w:ind w:right="-5"/>
              <w:rPr>
                <w:rFonts w:ascii="仿宋_GB2312" w:eastAsia="仿宋_GB2312"/>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5A1CF03E">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5A048586">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4539D58">
            <w:pPr>
              <w:spacing w:line="500" w:lineRule="exact"/>
              <w:ind w:right="-5"/>
              <w:jc w:val="center"/>
              <w:rPr>
                <w:rFonts w:ascii="仿宋_GB2312" w:eastAsia="仿宋_GB2312"/>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A01122A">
            <w:pPr>
              <w:spacing w:line="500" w:lineRule="exact"/>
              <w:ind w:right="-5"/>
              <w:jc w:val="center"/>
              <w:rPr>
                <w:rFonts w:ascii="仿宋_GB2312" w:eastAsia="仿宋_GB2312"/>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67107471">
            <w:pPr>
              <w:spacing w:line="500" w:lineRule="exact"/>
              <w:ind w:right="-5"/>
              <w:rPr>
                <w:rFonts w:ascii="仿宋_GB2312" w:eastAsia="仿宋_GB2312"/>
                <w:highlight w:val="none"/>
              </w:rPr>
            </w:pPr>
          </w:p>
        </w:tc>
      </w:tr>
    </w:tbl>
    <w:p w14:paraId="74761C92">
      <w:pPr>
        <w:spacing w:after="120" w:line="360" w:lineRule="auto"/>
        <w:ind w:firstLine="480"/>
        <w:rPr>
          <w:sz w:val="24"/>
          <w:highlight w:val="none"/>
        </w:rPr>
      </w:pPr>
      <w:r>
        <w:rPr>
          <w:rFonts w:hint="eastAsia"/>
          <w:sz w:val="24"/>
          <w:highlight w:val="none"/>
        </w:rPr>
        <w:t>投标人（盖章）：</w:t>
      </w:r>
    </w:p>
    <w:p w14:paraId="0FF414F6">
      <w:pPr>
        <w:spacing w:after="120" w:line="360" w:lineRule="auto"/>
        <w:ind w:firstLine="480"/>
        <w:rPr>
          <w:sz w:val="24"/>
          <w:highlight w:val="none"/>
        </w:rPr>
      </w:pPr>
      <w:r>
        <w:rPr>
          <w:rFonts w:hint="eastAsia"/>
          <w:sz w:val="24"/>
          <w:highlight w:val="none"/>
        </w:rPr>
        <w:t>投标人授权代表（签字）：</w:t>
      </w:r>
    </w:p>
    <w:p w14:paraId="556D0906">
      <w:pPr>
        <w:spacing w:after="120" w:line="360" w:lineRule="auto"/>
        <w:ind w:firstLine="480"/>
        <w:rPr>
          <w:b/>
          <w:sz w:val="24"/>
          <w:highlight w:val="none"/>
        </w:rPr>
      </w:pPr>
      <w:r>
        <w:rPr>
          <w:rFonts w:hint="eastAsia"/>
          <w:sz w:val="24"/>
          <w:highlight w:val="none"/>
        </w:rPr>
        <w:t xml:space="preserve">日期：     </w:t>
      </w:r>
    </w:p>
    <w:p w14:paraId="36703653">
      <w:pPr>
        <w:pStyle w:val="3"/>
        <w:ind w:firstLine="0"/>
        <w:rPr>
          <w:b/>
          <w:sz w:val="22"/>
          <w:szCs w:val="22"/>
          <w:highlight w:val="none"/>
        </w:rPr>
      </w:pPr>
      <w:r>
        <w:rPr>
          <w:sz w:val="22"/>
          <w:szCs w:val="22"/>
          <w:highlight w:val="none"/>
        </w:rPr>
        <w:t>注：</w:t>
      </w:r>
    </w:p>
    <w:p w14:paraId="6E68A5FD">
      <w:pPr>
        <w:pStyle w:val="3"/>
        <w:ind w:firstLine="0"/>
        <w:rPr>
          <w:b/>
          <w:sz w:val="22"/>
          <w:szCs w:val="22"/>
          <w:highlight w:val="none"/>
        </w:rPr>
      </w:pPr>
      <w:r>
        <w:rPr>
          <w:rFonts w:hint="eastAsia"/>
          <w:sz w:val="22"/>
          <w:szCs w:val="22"/>
          <w:highlight w:val="none"/>
        </w:rPr>
        <w:t>1、投标人承诺的质保期内的所有备品备件均应包含在投标报价内，无论是否在分项报价明细表中单列，采购人均不额外付费</w:t>
      </w:r>
      <w:r>
        <w:rPr>
          <w:sz w:val="22"/>
          <w:szCs w:val="22"/>
          <w:highlight w:val="none"/>
        </w:rPr>
        <w:t>。</w:t>
      </w:r>
    </w:p>
    <w:p w14:paraId="7C7857F7">
      <w:pPr>
        <w:pStyle w:val="3"/>
        <w:ind w:firstLine="0"/>
        <w:rPr>
          <w:sz w:val="22"/>
          <w:szCs w:val="22"/>
          <w:highlight w:val="none"/>
        </w:rPr>
      </w:pPr>
      <w:r>
        <w:rPr>
          <w:sz w:val="22"/>
          <w:szCs w:val="22"/>
          <w:highlight w:val="none"/>
        </w:rPr>
        <w:t>2、</w:t>
      </w:r>
      <w:r>
        <w:rPr>
          <w:rFonts w:hint="eastAsia"/>
          <w:sz w:val="22"/>
          <w:szCs w:val="22"/>
          <w:highlight w:val="none"/>
        </w:rPr>
        <w:t>如所投产品不涉及备品备件，可在投标文件中将本表空置</w:t>
      </w:r>
      <w:r>
        <w:rPr>
          <w:sz w:val="22"/>
          <w:szCs w:val="22"/>
          <w:highlight w:val="none"/>
        </w:rPr>
        <w:t>。</w:t>
      </w:r>
    </w:p>
    <w:p w14:paraId="3D8FF3AC">
      <w:pPr>
        <w:rPr>
          <w:color w:val="000000" w:themeColor="text1"/>
          <w:highlight w:val="none"/>
          <w14:textFill>
            <w14:solidFill>
              <w14:schemeClr w14:val="tx1"/>
            </w14:solidFill>
          </w14:textFill>
        </w:rPr>
      </w:pPr>
    </w:p>
    <w:p w14:paraId="0DFC9187">
      <w:pPr>
        <w:pStyle w:val="72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附件1</w:t>
      </w:r>
      <w:r>
        <w:rPr>
          <w:rFonts w:hint="eastAsia"/>
          <w:color w:val="000000" w:themeColor="text1"/>
          <w:highlight w:val="none"/>
          <w:lang w:val="en-US" w:eastAsia="zh-CN"/>
          <w14:textFill>
            <w14:solidFill>
              <w14:schemeClr w14:val="tx1"/>
            </w14:solidFill>
          </w14:textFill>
        </w:rPr>
        <w:t>3</w:t>
      </w:r>
    </w:p>
    <w:p w14:paraId="19A14A77">
      <w:pPr>
        <w:rPr>
          <w:color w:val="000000" w:themeColor="text1"/>
          <w:highlight w:val="none"/>
          <w14:textFill>
            <w14:solidFill>
              <w14:schemeClr w14:val="tx1"/>
            </w14:solidFill>
          </w14:textFill>
        </w:rPr>
      </w:pPr>
    </w:p>
    <w:p w14:paraId="6762EA4A">
      <w:pPr>
        <w:rPr>
          <w:rFonts w:hint="eastAsia" w:hAnsi="宋体" w:cs="宋体"/>
          <w:b w:val="0"/>
          <w:color w:val="000000" w:themeColor="text1"/>
          <w:sz w:val="28"/>
          <w:szCs w:val="36"/>
          <w:highlight w:val="none"/>
          <w14:textFill>
            <w14:solidFill>
              <w14:schemeClr w14:val="tx1"/>
            </w14:solidFill>
          </w14:textFill>
        </w:rPr>
      </w:pPr>
    </w:p>
    <w:p w14:paraId="332E6B28">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中小企业声明函（货物）</w:t>
      </w:r>
    </w:p>
    <w:p w14:paraId="1E13ECAB">
      <w:pPr>
        <w:pStyle w:val="3"/>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采购活动，提供的货物全部由符合政策要求的中小企业制造。相关企业（含联合体中的中小企业、签订分包意向协议的中小企业）的具体情况如下：</w:t>
      </w:r>
    </w:p>
    <w:p w14:paraId="2ECF498A">
      <w:pPr>
        <w:pStyle w:val="3"/>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，属于</w:t>
      </w:r>
      <w:r>
        <w:rPr>
          <w:color w:val="000000" w:themeColor="text1"/>
          <w:highlight w:val="none"/>
          <w:u w:val="single"/>
          <w14:textFill>
            <w14:solidFill>
              <w14:schemeClr w14:val="tx1"/>
            </w14:solidFill>
          </w14:textFill>
        </w:rPr>
        <w:t>（招标文件中明确的所属行业）</w:t>
      </w:r>
      <w:r>
        <w:rPr>
          <w:color w:val="000000" w:themeColor="text1"/>
          <w:highlight w:val="none"/>
          <w14:textFill>
            <w14:solidFill>
              <w14:schemeClr w14:val="tx1"/>
            </w14:solidFill>
          </w14:textFill>
        </w:rPr>
        <w:t>行业；制造商为</w:t>
      </w:r>
      <w:r>
        <w:rPr>
          <w:color w:val="000000" w:themeColor="text1"/>
          <w:highlight w:val="none"/>
          <w:u w:val="single"/>
          <w14:textFill>
            <w14:solidFill>
              <w14:schemeClr w14:val="tx1"/>
            </w14:solidFill>
          </w14:textFill>
        </w:rPr>
        <w:t>（企业名称）</w:t>
      </w:r>
      <w:r>
        <w:rPr>
          <w:color w:val="000000" w:themeColor="text1"/>
          <w:highlight w:val="none"/>
          <w14:textFill>
            <w14:solidFill>
              <w14:schemeClr w14:val="tx1"/>
            </w14:solidFill>
          </w14:textFill>
        </w:rPr>
        <w:t>，从业人员人，营业收入为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万元，属于</w:t>
      </w:r>
      <w:r>
        <w:rPr>
          <w:color w:val="000000" w:themeColor="text1"/>
          <w:highlight w:val="none"/>
          <w:u w:val="single"/>
          <w14:textFill>
            <w14:solidFill>
              <w14:schemeClr w14:val="tx1"/>
            </w14:solidFill>
          </w14:textFill>
        </w:rPr>
        <w:t>（□中型企业、□小型企业、□微型企业</w:t>
      </w:r>
      <w:r>
        <w:rPr>
          <w:color w:val="000000" w:themeColor="text1"/>
          <w:highlight w:val="none"/>
          <w14:textFill>
            <w14:solidFill>
              <w14:schemeClr w14:val="tx1"/>
            </w14:solidFill>
          </w14:textFill>
        </w:rPr>
        <w:t>；</w:t>
      </w:r>
    </w:p>
    <w:p w14:paraId="4AEF3345">
      <w:pPr>
        <w:pStyle w:val="3"/>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，属于</w:t>
      </w:r>
      <w:r>
        <w:rPr>
          <w:color w:val="000000" w:themeColor="text1"/>
          <w:highlight w:val="none"/>
          <w:u w:val="single"/>
          <w14:textFill>
            <w14:solidFill>
              <w14:schemeClr w14:val="tx1"/>
            </w14:solidFill>
          </w14:textFill>
        </w:rPr>
        <w:t>（招标文件中明确的所属行业）</w:t>
      </w:r>
      <w:r>
        <w:rPr>
          <w:color w:val="000000" w:themeColor="text1"/>
          <w:highlight w:val="none"/>
          <w14:textFill>
            <w14:solidFill>
              <w14:schemeClr w14:val="tx1"/>
            </w14:solidFill>
          </w14:textFill>
        </w:rPr>
        <w:t>行业；制造商为</w:t>
      </w:r>
      <w:r>
        <w:rPr>
          <w:color w:val="000000" w:themeColor="text1"/>
          <w:highlight w:val="none"/>
          <w:u w:val="single"/>
          <w14:textFill>
            <w14:solidFill>
              <w14:schemeClr w14:val="tx1"/>
            </w14:solidFill>
          </w14:textFill>
        </w:rPr>
        <w:t>（企业名称）</w:t>
      </w:r>
      <w:r>
        <w:rPr>
          <w:color w:val="000000" w:themeColor="text1"/>
          <w:highlight w:val="none"/>
          <w14:textFill>
            <w14:solidFill>
              <w14:schemeClr w14:val="tx1"/>
            </w14:solidFill>
          </w14:textFill>
        </w:rPr>
        <w:t>，从业人员人，营业收入为万元，资产总额为万元，属于</w:t>
      </w:r>
      <w:r>
        <w:rPr>
          <w:color w:val="000000" w:themeColor="text1"/>
          <w:highlight w:val="none"/>
          <w:u w:val="single"/>
          <w14:textFill>
            <w14:solidFill>
              <w14:schemeClr w14:val="tx1"/>
            </w14:solidFill>
          </w14:textFill>
        </w:rPr>
        <w:t>（□中型企业、□小型企业、□微型企业）</w:t>
      </w:r>
      <w:r>
        <w:rPr>
          <w:color w:val="000000" w:themeColor="text1"/>
          <w:highlight w:val="none"/>
          <w14:textFill>
            <w14:solidFill>
              <w14:schemeClr w14:val="tx1"/>
            </w14:solidFill>
          </w14:textFill>
        </w:rPr>
        <w:t>；</w:t>
      </w:r>
    </w:p>
    <w:p w14:paraId="1FA19A1C">
      <w:pPr>
        <w:pStyle w:val="3"/>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p>
    <w:p w14:paraId="5E3AAC29">
      <w:pPr>
        <w:pStyle w:val="3"/>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6395C47A">
      <w:pPr>
        <w:pStyle w:val="3"/>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36FB1DF7">
      <w:pPr>
        <w:pStyle w:val="3"/>
        <w:tabs>
          <w:tab w:val="left" w:pos="7098"/>
        </w:tabs>
        <w:ind w:firstLine="480"/>
        <w:jc w:val="right"/>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投标人或制造商名称（盖章）：</w:t>
      </w:r>
    </w:p>
    <w:p w14:paraId="37999485">
      <w:pPr>
        <w:pStyle w:val="3"/>
        <w:tabs>
          <w:tab w:val="left" w:pos="7098"/>
        </w:tabs>
        <w:ind w:firstLine="6000"/>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w:t>
      </w:r>
    </w:p>
    <w:p w14:paraId="2D4AAE23">
      <w:pPr>
        <w:spacing w:line="360" w:lineRule="auto"/>
        <w:contextualSpacing/>
        <w:jc w:val="left"/>
        <w:rPr>
          <w:rFonts w:hint="eastAsia" w:hAnsi="宋体" w:cs="宋体"/>
          <w:b w:val="0"/>
          <w:color w:val="000000" w:themeColor="text1"/>
          <w:highlight w:val="none"/>
          <w14:textFill>
            <w14:solidFill>
              <w14:schemeClr w14:val="tx1"/>
            </w14:solidFill>
          </w14:textFill>
        </w:rPr>
      </w:pPr>
    </w:p>
    <w:p w14:paraId="301937FE">
      <w:pPr>
        <w:spacing w:line="360" w:lineRule="auto"/>
        <w:ind w:firstLine="480"/>
        <w:contextualSpacing/>
        <w:jc w:val="left"/>
        <w:rPr>
          <w:rFonts w:hint="eastAsia" w:hAnsi="宋体" w:cs="宋体"/>
          <w:b w:val="0"/>
          <w:color w:val="000000" w:themeColor="text1"/>
          <w:highlight w:val="none"/>
          <w14:textFill>
            <w14:solidFill>
              <w14:schemeClr w14:val="tx1"/>
            </w14:solidFill>
          </w14:textFill>
        </w:rPr>
      </w:pPr>
    </w:p>
    <w:p w14:paraId="574D0F15">
      <w:pPr>
        <w:spacing w:line="360" w:lineRule="auto"/>
        <w:ind w:firstLine="480"/>
        <w:contextualSpacing/>
        <w:jc w:val="left"/>
        <w:rPr>
          <w:rFonts w:hint="eastAsia" w:hAnsi="宋体" w:cs="宋体"/>
          <w:b w:val="0"/>
          <w:color w:val="000000" w:themeColor="text1"/>
          <w:highlight w:val="none"/>
          <w14:textFill>
            <w14:solidFill>
              <w14:schemeClr w14:val="tx1"/>
            </w14:solidFill>
          </w14:textFill>
        </w:rPr>
      </w:pPr>
    </w:p>
    <w:p w14:paraId="0688E418">
      <w:pPr>
        <w:spacing w:line="360" w:lineRule="auto"/>
        <w:ind w:firstLine="480"/>
        <w:contextualSpacing/>
        <w:jc w:val="left"/>
        <w:rPr>
          <w:rFonts w:hint="eastAsia" w:hAnsi="宋体" w:cs="宋体"/>
          <w:b w:val="0"/>
          <w:color w:val="000000" w:themeColor="text1"/>
          <w:highlight w:val="none"/>
          <w14:textFill>
            <w14:solidFill>
              <w14:schemeClr w14:val="tx1"/>
            </w14:solidFill>
          </w14:textFill>
        </w:rPr>
      </w:pPr>
      <w:r>
        <w:rPr>
          <w:rFonts w:hint="eastAsia" w:hAnsi="宋体" w:cs="宋体"/>
          <w:b w:val="0"/>
          <w:color w:val="000000" w:themeColor="text1"/>
          <w:highlight w:val="none"/>
          <w14:textFill>
            <w14:solidFill>
              <w14:schemeClr w14:val="tx1"/>
            </w14:solidFill>
          </w14:textFill>
        </w:rPr>
        <w:t>注：从业人员、营业收入、资产总额填报上一年度数据，无上一年度数据的新成立企业可不填报。</w:t>
      </w:r>
    </w:p>
    <w:p w14:paraId="0EC9D8E1">
      <w:pPr>
        <w:spacing w:line="588" w:lineRule="exact"/>
        <w:ind w:firstLine="4962"/>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p>
    <w:p w14:paraId="58D11186">
      <w:pPr>
        <w:pStyle w:val="72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附件1</w:t>
      </w:r>
      <w:r>
        <w:rPr>
          <w:rFonts w:hint="eastAsia"/>
          <w:color w:val="000000" w:themeColor="text1"/>
          <w:highlight w:val="none"/>
          <w:lang w:val="en-US" w:eastAsia="zh-CN"/>
          <w14:textFill>
            <w14:solidFill>
              <w14:schemeClr w14:val="tx1"/>
            </w14:solidFill>
          </w14:textFill>
        </w:rPr>
        <w:t>4</w:t>
      </w:r>
    </w:p>
    <w:p w14:paraId="563ADA4F">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残疾人福利性单位声明函</w:t>
      </w:r>
    </w:p>
    <w:p w14:paraId="2FFA657C">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243C3445">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本单位对上述声明的真实性负责。如有虚假，将依法承担相应责任。</w:t>
      </w:r>
    </w:p>
    <w:p w14:paraId="05DF0EE7">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（备注：1、供应商如不提供此声明函，价格将不做相应扣除。2、中标供应商为残疾人福利单位的，此声明函将随中标结果同时公告，接受社会监督）</w:t>
      </w:r>
    </w:p>
    <w:p w14:paraId="2AA18CD4">
      <w:pPr>
        <w:spacing w:line="588" w:lineRule="exact"/>
        <w:ind w:firstLine="584"/>
        <w:rPr>
          <w:rFonts w:hint="eastAsia" w:ascii="宋体" w:hAnsi="宋体"/>
          <w:color w:val="000000" w:themeColor="text1"/>
          <w:spacing w:val="6"/>
          <w:sz w:val="28"/>
          <w:szCs w:val="28"/>
          <w:highlight w:val="none"/>
          <w14:textFill>
            <w14:solidFill>
              <w14:schemeClr w14:val="tx1"/>
            </w14:solidFill>
          </w14:textFill>
        </w:rPr>
      </w:pPr>
    </w:p>
    <w:p w14:paraId="3F4113A9">
      <w:pPr>
        <w:spacing w:line="588" w:lineRule="exact"/>
        <w:ind w:firstLine="584"/>
        <w:rPr>
          <w:rFonts w:hint="eastAsia" w:ascii="宋体" w:hAnsi="宋体"/>
          <w:color w:val="000000" w:themeColor="text1"/>
          <w:spacing w:val="6"/>
          <w:sz w:val="28"/>
          <w:szCs w:val="28"/>
          <w:highlight w:val="none"/>
          <w14:textFill>
            <w14:solidFill>
              <w14:schemeClr w14:val="tx1"/>
            </w14:solidFill>
          </w14:textFill>
        </w:rPr>
      </w:pPr>
    </w:p>
    <w:p w14:paraId="4D96C256">
      <w:pPr>
        <w:spacing w:line="588" w:lineRule="exact"/>
        <w:ind w:firstLine="584"/>
        <w:rPr>
          <w:rFonts w:hint="eastAsia" w:ascii="宋体" w:hAnsi="宋体"/>
          <w:color w:val="000000" w:themeColor="text1"/>
          <w:spacing w:val="6"/>
          <w:sz w:val="28"/>
          <w:szCs w:val="28"/>
          <w:highlight w:val="none"/>
          <w14:textFill>
            <w14:solidFill>
              <w14:schemeClr w14:val="tx1"/>
            </w14:solidFill>
          </w14:textFill>
        </w:rPr>
      </w:pPr>
    </w:p>
    <w:p w14:paraId="5396B8F8">
      <w:pPr>
        <w:tabs>
          <w:tab w:val="left" w:pos="4860"/>
        </w:tabs>
        <w:spacing w:after="120" w:line="360" w:lineRule="auto"/>
        <w:ind w:right="1560" w:firstLine="584"/>
        <w:jc w:val="center"/>
        <w:rPr>
          <w:color w:val="000000" w:themeColor="text1"/>
          <w:sz w:val="24"/>
          <w:szCs w:val="28"/>
          <w:highlight w:val="none"/>
          <w14:textFill>
            <w14:solidFill>
              <w14:schemeClr w14:val="tx1"/>
            </w14:solidFill>
          </w14:textFill>
        </w:rPr>
      </w:pPr>
      <w:r>
        <w:rPr>
          <w:rFonts w:hint="eastAsia"/>
          <w:color w:val="000000" w:themeColor="text1"/>
          <w:spacing w:val="6"/>
          <w:sz w:val="24"/>
          <w:szCs w:val="28"/>
          <w:highlight w:val="none"/>
          <w14:textFill>
            <w14:solidFill>
              <w14:schemeClr w14:val="tx1"/>
            </w14:solidFill>
          </w14:textFill>
        </w:rPr>
        <w:t xml:space="preserve">             </w:t>
      </w:r>
      <w:r>
        <w:rPr>
          <w:rFonts w:hint="eastAsia"/>
          <w:color w:val="000000" w:themeColor="text1"/>
          <w:sz w:val="24"/>
          <w:szCs w:val="28"/>
          <w:highlight w:val="none"/>
          <w14:textFill>
            <w14:solidFill>
              <w14:schemeClr w14:val="tx1"/>
            </w14:solidFill>
          </w14:textFill>
        </w:rPr>
        <w:t xml:space="preserve">           供应商全称（盖章）：</w:t>
      </w:r>
    </w:p>
    <w:p w14:paraId="4320C4B0">
      <w:pPr>
        <w:tabs>
          <w:tab w:val="left" w:pos="4860"/>
        </w:tabs>
        <w:spacing w:after="120" w:line="360" w:lineRule="auto"/>
        <w:ind w:right="1560" w:firstLine="560"/>
        <w:jc w:val="center"/>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              日  期：</w:t>
      </w:r>
    </w:p>
    <w:p w14:paraId="1D189665">
      <w:pPr>
        <w:widowControl/>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404BA4CC">
      <w:pPr>
        <w:pStyle w:val="723"/>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15</w:t>
      </w:r>
    </w:p>
    <w:p w14:paraId="00F5A647">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监狱和戒毒企业证明材料</w:t>
      </w:r>
    </w:p>
    <w:p w14:paraId="41891A74">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（格式自拟）</w:t>
      </w:r>
    </w:p>
    <w:p w14:paraId="6AF2C8E6">
      <w:pPr>
        <w:pStyle w:val="3"/>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6986E85">
      <w:pPr>
        <w:widowControl/>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p>
    <w:p w14:paraId="477E2E73">
      <w:pPr>
        <w:pStyle w:val="723"/>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16</w:t>
      </w:r>
    </w:p>
    <w:p w14:paraId="178C6FA7">
      <w:pPr>
        <w:pStyle w:val="72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办理政采贷和履约保函(保险)告知函</w:t>
      </w:r>
    </w:p>
    <w:p w14:paraId="06FC652F">
      <w:pPr>
        <w:pStyle w:val="3"/>
        <w:pBdr>
          <w:top w:val="none" w:color="000000" w:sz="0" w:space="0"/>
          <w:left w:val="none" w:color="000000" w:sz="0" w:space="0"/>
          <w:bottom w:val="none" w:color="000000" w:sz="0" w:space="0"/>
          <w:right w:val="none" w:color="000000" w:sz="0" w:space="0"/>
        </w:pBdr>
        <w:ind w:firstLine="0"/>
        <w:rPr>
          <w:color w:val="000000" w:themeColor="text1"/>
          <w:highlight w:val="none"/>
          <w14:textFill>
            <w14:solidFill>
              <w14:schemeClr w14:val="tx1"/>
            </w14:solidFill>
          </w14:textFill>
        </w:rPr>
      </w:pPr>
    </w:p>
    <w:p w14:paraId="1DDEC0CE">
      <w:pPr>
        <w:pStyle w:val="3"/>
        <w:pBdr>
          <w:top w:val="none" w:color="000000" w:sz="0" w:space="0"/>
          <w:left w:val="none" w:color="000000" w:sz="0" w:space="0"/>
          <w:bottom w:val="none" w:color="000000" w:sz="0" w:space="0"/>
          <w:right w:val="none" w:color="000000" w:sz="0" w:space="0"/>
        </w:pBd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各政府采购供应商:</w:t>
      </w:r>
    </w:p>
    <w:p w14:paraId="6353D778">
      <w:pPr>
        <w:pStyle w:val="3"/>
        <w:pBdr>
          <w:top w:val="none" w:color="000000" w:sz="0" w:space="0"/>
          <w:left w:val="none" w:color="000000" w:sz="0" w:space="0"/>
          <w:bottom w:val="none" w:color="000000" w:sz="0" w:space="0"/>
          <w:right w:val="none" w:color="000000" w:sz="0" w:space="0"/>
        </w:pBd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欢迎贵公司参与南通市政府采购活动!</w:t>
      </w:r>
    </w:p>
    <w:p w14:paraId="52E3739E">
      <w:pPr>
        <w:pStyle w:val="3"/>
        <w:pBdr>
          <w:top w:val="none" w:color="000000" w:sz="0" w:space="0"/>
          <w:left w:val="none" w:color="000000" w:sz="0" w:space="0"/>
          <w:bottom w:val="none" w:color="000000" w:sz="0" w:space="0"/>
          <w:right w:val="none" w:color="000000" w:sz="0" w:space="0"/>
        </w:pBd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政府采购线上合同信用融资和履约保函(保险)是支持企业发展，针对参与政府采购活动的企业融资难、现金流不足等问题推出的一项服务举措。</w:t>
      </w:r>
    </w:p>
    <w:p w14:paraId="513BCA02">
      <w:pPr>
        <w:pStyle w:val="3"/>
        <w:pBdr>
          <w:top w:val="none" w:color="000000" w:sz="0" w:space="0"/>
          <w:left w:val="none" w:color="000000" w:sz="0" w:space="0"/>
          <w:bottom w:val="none" w:color="000000" w:sz="0" w:space="0"/>
          <w:right w:val="none" w:color="000000" w:sz="0" w:space="0"/>
        </w:pBd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284AFF52">
      <w:pPr>
        <w:pBdr>
          <w:top w:val="none" w:color="000000" w:sz="0" w:space="0"/>
          <w:left w:val="none" w:color="000000" w:sz="0" w:space="0"/>
          <w:bottom w:val="none" w:color="000000" w:sz="0" w:space="0"/>
          <w:right w:val="none" w:color="000000" w:sz="0" w:space="0"/>
        </w:pBdr>
        <w:rPr>
          <w:color w:val="000000" w:themeColor="text1"/>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t> </w:t>
      </w:r>
    </w:p>
    <w:sectPr>
      <w:footerReference r:id="rId4" w:type="default"/>
      <w:pgSz w:w="11906" w:h="16838"/>
      <w:pgMar w:top="1440" w:right="1701" w:bottom="1440" w:left="1701"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3873899-3D71-4828-BB19-91013E9A3337}"/>
  </w:font>
  <w:font w:name="Courier New">
    <w:panose1 w:val="02070309020205020404"/>
    <w:charset w:val="01"/>
    <w:family w:val="modern"/>
    <w:pitch w:val="default"/>
    <w:sig w:usb0="E0002EFF" w:usb1="C0007843" w:usb2="00000009" w:usb3="00000000" w:csb0="400001FF" w:csb1="FFFF0000"/>
    <w:embedRegular r:id="rId2" w:fontKey="{8B46A722-1E62-4F5B-8094-227640C531E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3" w:fontKey="{3670AFE7-B616-4809-88D6-4B66B3CF8BA9}"/>
  </w:font>
  <w:font w:name="等线 Light">
    <w:panose1 w:val="02010600030101010101"/>
    <w:charset w:val="86"/>
    <w:family w:val="auto"/>
    <w:pitch w:val="default"/>
    <w:sig w:usb0="A00002BF" w:usb1="38CF7CFA" w:usb2="00000016" w:usb3="00000000" w:csb0="0004000F" w:csb1="00000000"/>
  </w:font>
  <w:font w:name="幼圆">
    <w:panose1 w:val="02010509060101010101"/>
    <w:charset w:val="86"/>
    <w:family w:val="auto"/>
    <w:pitch w:val="default"/>
    <w:sig w:usb0="00000001" w:usb1="080E0000" w:usb2="00000000" w:usb3="00000000" w:csb0="00040000" w:csb1="00000000"/>
  </w:font>
  <w:font w:name="Bell MT">
    <w:panose1 w:val="02020503060305020303"/>
    <w:charset w:val="00"/>
    <w:family w:val="auto"/>
    <w:pitch w:val="default"/>
    <w:sig w:usb0="00000003" w:usb1="00000000" w:usb2="00000000" w:usb3="00000000" w:csb0="20000001" w:csb1="0000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Miss Sweetie">
    <w:panose1 w:val="02000503000000000000"/>
    <w:charset w:val="00"/>
    <w:family w:val="auto"/>
    <w:pitch w:val="default"/>
    <w:sig w:usb0="00000000" w:usb1="00000000" w:usb2="00000000" w:usb3="00000000" w:csb0="00000001" w:csb1="00000000"/>
  </w:font>
  <w:font w:name="方正黑体_GBK">
    <w:panose1 w:val="02010600010101010101"/>
    <w:charset w:val="86"/>
    <w:family w:val="auto"/>
    <w:pitch w:val="default"/>
    <w:sig w:usb0="00000001" w:usb1="080E0000" w:usb2="00000000" w:usb3="00000000" w:csb0="00040000" w:csb1="00000000"/>
  </w:font>
  <w:font w:name="Helvetica Neue">
    <w:altName w:val="Times New Roman"/>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仿宋简体">
    <w:panose1 w:val="02000000000000000000"/>
    <w:charset w:val="86"/>
    <w:family w:val="auto"/>
    <w:pitch w:val="default"/>
    <w:sig w:usb0="A00002BF" w:usb1="184F6CFA" w:usb2="00000012" w:usb3="00000000" w:csb0="00040001" w:csb1="00000000"/>
    <w:embedRegular r:id="rId4" w:fontKey="{5CBAEE09-7FE0-44D1-88BA-B78779B90E23}"/>
  </w:font>
  <w:font w:name="汉仪雅酷黑简">
    <w:panose1 w:val="00020600040101010101"/>
    <w:charset w:val="86"/>
    <w:family w:val="auto"/>
    <w:pitch w:val="default"/>
    <w:sig w:usb0="A00002BF" w:usb1="1AC17CFA" w:usb2="00000016" w:usb3="00000000" w:csb0="0004009F" w:csb1="DFD7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C8765">
    <w:pPr>
      <w:pStyle w:val="3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744359">
                          <w:pPr>
                            <w:pStyle w:val="3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07744359">
                    <w:pPr>
                      <w:pStyle w:val="38"/>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0635">
    <w:pPr>
      <w:pStyle w:val="3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suff w:val="nothing"/>
      <w:lvlText w:val="（%1）"/>
      <w:lvlJc w:val="left"/>
      <w:pPr>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1969898"/>
    <w:multiLevelType w:val="multilevel"/>
    <w:tmpl w:val="81969898"/>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8461FADE"/>
    <w:multiLevelType w:val="multilevel"/>
    <w:tmpl w:val="8461FADE"/>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8CAEB125"/>
    <w:multiLevelType w:val="multilevel"/>
    <w:tmpl w:val="8CAEB125"/>
    <w:lvl w:ilvl="0" w:tentative="0">
      <w:start w:val="1"/>
      <w:numFmt w:val="decimal"/>
      <w:suff w:val="nothing"/>
      <w:lvlText w:val="（%1）"/>
      <w:lvlJc w:val="left"/>
      <w:pPr>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9239341B"/>
    <w:multiLevelType w:val="multilevel"/>
    <w:tmpl w:val="9239341B"/>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9288B902"/>
    <w:multiLevelType w:val="multilevel"/>
    <w:tmpl w:val="9288B902"/>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9C8AC8EF"/>
    <w:multiLevelType w:val="multilevel"/>
    <w:tmpl w:val="9C8AC8EF"/>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B0F1ACD9"/>
    <w:multiLevelType w:val="multilevel"/>
    <w:tmpl w:val="B0F1ACD9"/>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B5E306ED"/>
    <w:multiLevelType w:val="multilevel"/>
    <w:tmpl w:val="B5E306ED"/>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B8CEF35B"/>
    <w:multiLevelType w:val="multilevel"/>
    <w:tmpl w:val="B8CEF35B"/>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BD7726A1"/>
    <w:multiLevelType w:val="multilevel"/>
    <w:tmpl w:val="BD7726A1"/>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BE923771"/>
    <w:multiLevelType w:val="multilevel"/>
    <w:tmpl w:val="BE923771"/>
    <w:lvl w:ilvl="0" w:tentative="0">
      <w:start w:val="1"/>
      <w:numFmt w:val="decimal"/>
      <w:lvlText w:val="5.%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BF205925"/>
    <w:multiLevelType w:val="multilevel"/>
    <w:tmpl w:val="BF205925"/>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C8879AEF"/>
    <w:multiLevelType w:val="multilevel"/>
    <w:tmpl w:val="C8879AEF"/>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CF092B84"/>
    <w:multiLevelType w:val="multilevel"/>
    <w:tmpl w:val="CF092B84"/>
    <w:lvl w:ilvl="0" w:tentative="0">
      <w:start w:val="1"/>
      <w:numFmt w:val="upperLetter"/>
      <w:pStyle w:val="3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D1B91AAF"/>
    <w:multiLevelType w:val="multilevel"/>
    <w:tmpl w:val="D1B91AAF"/>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D6F76D91"/>
    <w:multiLevelType w:val="multilevel"/>
    <w:tmpl w:val="D6F76D91"/>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D7D140E4"/>
    <w:multiLevelType w:val="multilevel"/>
    <w:tmpl w:val="D7D140E4"/>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D7F9FE59"/>
    <w:multiLevelType w:val="multilevel"/>
    <w:tmpl w:val="D7F9FE59"/>
    <w:lvl w:ilvl="0" w:tentative="0">
      <w:start w:val="1"/>
      <w:numFmt w:val="decimal"/>
      <w:suff w:val="nothing"/>
      <w:lvlText w:val="（%1）"/>
      <w:lvlJc w:val="left"/>
      <w:pPr>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DCBA6B53"/>
    <w:multiLevelType w:val="multilevel"/>
    <w:tmpl w:val="DCBA6B53"/>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E093A4B0"/>
    <w:multiLevelType w:val="multilevel"/>
    <w:tmpl w:val="E093A4B0"/>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EEB29B3C"/>
    <w:multiLevelType w:val="multilevel"/>
    <w:tmpl w:val="EEB29B3C"/>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F4B5D9F5"/>
    <w:multiLevelType w:val="multilevel"/>
    <w:tmpl w:val="F4B5D9F5"/>
    <w:lvl w:ilvl="0" w:tentative="0">
      <w:start w:val="1"/>
      <w:numFmt w:val="decimal"/>
      <w:lvlText w:val="4.%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F7735DC9"/>
    <w:multiLevelType w:val="multilevel"/>
    <w:tmpl w:val="F7735DC9"/>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0053208E"/>
    <w:multiLevelType w:val="multilevel"/>
    <w:tmpl w:val="0053208E"/>
    <w:lvl w:ilvl="0" w:tentative="0">
      <w:start w:val="1"/>
      <w:numFmt w:val="bullet"/>
      <w:pStyle w:val="338"/>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25">
    <w:nsid w:val="0248C179"/>
    <w:multiLevelType w:val="multilevel"/>
    <w:tmpl w:val="0248C179"/>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6">
    <w:nsid w:val="03D62ECE"/>
    <w:multiLevelType w:val="multilevel"/>
    <w:tmpl w:val="03D62ECE"/>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7">
    <w:nsid w:val="0CEF100B"/>
    <w:multiLevelType w:val="multilevel"/>
    <w:tmpl w:val="0CEF100B"/>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8">
    <w:nsid w:val="0E640482"/>
    <w:multiLevelType w:val="multilevel"/>
    <w:tmpl w:val="0E640482"/>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10E9D3BE"/>
    <w:multiLevelType w:val="singleLevel"/>
    <w:tmpl w:val="10E9D3BE"/>
    <w:lvl w:ilvl="0" w:tentative="0">
      <w:start w:val="1"/>
      <w:numFmt w:val="decimal"/>
      <w:lvlText w:val="%1."/>
      <w:lvlJc w:val="left"/>
      <w:pPr>
        <w:ind w:left="425" w:hanging="425"/>
      </w:pPr>
      <w:rPr>
        <w:rFonts w:hint="default"/>
      </w:rPr>
    </w:lvl>
  </w:abstractNum>
  <w:abstractNum w:abstractNumId="30">
    <w:nsid w:val="1ACDE60F"/>
    <w:multiLevelType w:val="multilevel"/>
    <w:tmpl w:val="1ACDE60F"/>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1">
    <w:nsid w:val="243FCF68"/>
    <w:multiLevelType w:val="multilevel"/>
    <w:tmpl w:val="243FCF68"/>
    <w:lvl w:ilvl="0" w:tentative="0">
      <w:start w:val="1"/>
      <w:numFmt w:val="decimal"/>
      <w:lvlText w:val="6.%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2">
    <w:nsid w:val="2470EC97"/>
    <w:multiLevelType w:val="multilevel"/>
    <w:tmpl w:val="2470EC97"/>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2A8F537B"/>
    <w:multiLevelType w:val="multilevel"/>
    <w:tmpl w:val="2A8F537B"/>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4">
    <w:nsid w:val="30FC5B15"/>
    <w:multiLevelType w:val="multilevel"/>
    <w:tmpl w:val="30FC5B15"/>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5">
    <w:nsid w:val="322D85CA"/>
    <w:multiLevelType w:val="multilevel"/>
    <w:tmpl w:val="322D85C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6">
    <w:nsid w:val="39A0D9AC"/>
    <w:multiLevelType w:val="multilevel"/>
    <w:tmpl w:val="39A0D9AC"/>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7">
    <w:nsid w:val="46A08BB8"/>
    <w:multiLevelType w:val="multilevel"/>
    <w:tmpl w:val="46A08BB8"/>
    <w:lvl w:ilvl="0" w:tentative="0">
      <w:start w:val="1"/>
      <w:numFmt w:val="decimal"/>
      <w:lvlText w:val="5.%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8">
    <w:nsid w:val="4C1BAE26"/>
    <w:multiLevelType w:val="multilevel"/>
    <w:tmpl w:val="4C1BAE26"/>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9">
    <w:nsid w:val="4C3D7A74"/>
    <w:multiLevelType w:val="multilevel"/>
    <w:tmpl w:val="4C3D7A74"/>
    <w:lvl w:ilvl="0" w:tentative="0">
      <w:start w:val="1"/>
      <w:numFmt w:val="chineseCounting"/>
      <w:suff w:val="nothing"/>
      <w:lvlText w:val="（%1）"/>
      <w:lvlJc w:val="left"/>
      <w:pPr>
        <w:ind w:left="0" w:firstLine="48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0">
    <w:nsid w:val="4D4DC07F"/>
    <w:multiLevelType w:val="multilevel"/>
    <w:tmpl w:val="4D4DC07F"/>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1">
    <w:nsid w:val="4D94DA66"/>
    <w:multiLevelType w:val="multilevel"/>
    <w:tmpl w:val="4D94DA66"/>
    <w:lvl w:ilvl="0" w:tentative="0">
      <w:start w:val="1"/>
      <w:numFmt w:val="decimal"/>
      <w:lvlText w:val="7.%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2">
    <w:nsid w:val="58765686"/>
    <w:multiLevelType w:val="multilevel"/>
    <w:tmpl w:val="58765686"/>
    <w:lvl w:ilvl="0" w:tentative="0">
      <w:start w:val="1"/>
      <w:numFmt w:val="decimal"/>
      <w:lvlText w:val="4.%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3">
    <w:nsid w:val="59ADCABA"/>
    <w:multiLevelType w:val="multilevel"/>
    <w:tmpl w:val="59ADCABA"/>
    <w:lvl w:ilvl="0" w:tentative="0">
      <w:start w:val="1"/>
      <w:numFmt w:val="decimal"/>
      <w:pStyle w:val="38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4">
    <w:nsid w:val="5A241D34"/>
    <w:multiLevelType w:val="multilevel"/>
    <w:tmpl w:val="5A241D34"/>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5">
    <w:nsid w:val="5FFFB1A7"/>
    <w:multiLevelType w:val="multilevel"/>
    <w:tmpl w:val="5FFFB1A7"/>
    <w:lvl w:ilvl="0" w:tentative="0">
      <w:start w:val="1"/>
      <w:numFmt w:val="decimal"/>
      <w:suff w:val="nothing"/>
      <w:lvlText w:val="（%1）"/>
      <w:lvlJc w:val="left"/>
      <w:pPr>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6">
    <w:nsid w:val="60382F6E"/>
    <w:multiLevelType w:val="multilevel"/>
    <w:tmpl w:val="60382F6E"/>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7">
    <w:nsid w:val="629F7852"/>
    <w:multiLevelType w:val="multilevel"/>
    <w:tmpl w:val="629F7852"/>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8">
    <w:nsid w:val="65CD0074"/>
    <w:multiLevelType w:val="multilevel"/>
    <w:tmpl w:val="65CD0074"/>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9">
    <w:nsid w:val="74C28B35"/>
    <w:multiLevelType w:val="multilevel"/>
    <w:tmpl w:val="74C28B35"/>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0">
    <w:nsid w:val="77ECEA79"/>
    <w:multiLevelType w:val="multilevel"/>
    <w:tmpl w:val="77ECEA79"/>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1">
    <w:nsid w:val="79AA4FA4"/>
    <w:multiLevelType w:val="multilevel"/>
    <w:tmpl w:val="79AA4FA4"/>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2">
    <w:nsid w:val="7C246926"/>
    <w:multiLevelType w:val="multilevel"/>
    <w:tmpl w:val="7C246926"/>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3">
    <w:nsid w:val="7DEC2089"/>
    <w:multiLevelType w:val="multilevel"/>
    <w:tmpl w:val="7DEC2089"/>
    <w:lvl w:ilvl="0" w:tentative="0">
      <w:start w:val="1"/>
      <w:numFmt w:val="decimal"/>
      <w:lvlText w:val="5.%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4"/>
  </w:num>
  <w:num w:numId="2">
    <w:abstractNumId w:val="14"/>
  </w:num>
  <w:num w:numId="3">
    <w:abstractNumId w:val="43"/>
  </w:num>
  <w:num w:numId="4">
    <w:abstractNumId w:val="12"/>
  </w:num>
  <w:num w:numId="5">
    <w:abstractNumId w:val="8"/>
  </w:num>
  <w:num w:numId="6">
    <w:abstractNumId w:val="26"/>
  </w:num>
  <w:num w:numId="7">
    <w:abstractNumId w:val="21"/>
  </w:num>
  <w:num w:numId="8">
    <w:abstractNumId w:val="16"/>
  </w:num>
  <w:num w:numId="9">
    <w:abstractNumId w:val="25"/>
  </w:num>
  <w:num w:numId="10">
    <w:abstractNumId w:val="4"/>
  </w:num>
  <w:num w:numId="11">
    <w:abstractNumId w:val="33"/>
  </w:num>
  <w:num w:numId="12">
    <w:abstractNumId w:val="44"/>
  </w:num>
  <w:num w:numId="13">
    <w:abstractNumId w:val="13"/>
  </w:num>
  <w:num w:numId="14">
    <w:abstractNumId w:val="40"/>
  </w:num>
  <w:num w:numId="15">
    <w:abstractNumId w:val="22"/>
  </w:num>
  <w:num w:numId="16">
    <w:abstractNumId w:val="32"/>
  </w:num>
  <w:num w:numId="17">
    <w:abstractNumId w:val="19"/>
  </w:num>
  <w:num w:numId="18">
    <w:abstractNumId w:val="18"/>
  </w:num>
  <w:num w:numId="19">
    <w:abstractNumId w:val="6"/>
  </w:num>
  <w:num w:numId="20">
    <w:abstractNumId w:val="38"/>
  </w:num>
  <w:num w:numId="21">
    <w:abstractNumId w:val="46"/>
  </w:num>
  <w:num w:numId="22">
    <w:abstractNumId w:val="28"/>
  </w:num>
  <w:num w:numId="23">
    <w:abstractNumId w:val="37"/>
  </w:num>
  <w:num w:numId="24">
    <w:abstractNumId w:val="7"/>
  </w:num>
  <w:num w:numId="25">
    <w:abstractNumId w:val="52"/>
  </w:num>
  <w:num w:numId="26">
    <w:abstractNumId w:val="50"/>
  </w:num>
  <w:num w:numId="27">
    <w:abstractNumId w:val="11"/>
  </w:num>
  <w:num w:numId="28">
    <w:abstractNumId w:val="47"/>
  </w:num>
  <w:num w:numId="29">
    <w:abstractNumId w:val="5"/>
  </w:num>
  <w:num w:numId="30">
    <w:abstractNumId w:val="36"/>
  </w:num>
  <w:num w:numId="31">
    <w:abstractNumId w:val="2"/>
  </w:num>
  <w:num w:numId="32">
    <w:abstractNumId w:val="42"/>
  </w:num>
  <w:num w:numId="33">
    <w:abstractNumId w:val="53"/>
  </w:num>
  <w:num w:numId="34">
    <w:abstractNumId w:val="0"/>
  </w:num>
  <w:num w:numId="35">
    <w:abstractNumId w:val="31"/>
  </w:num>
  <w:num w:numId="36">
    <w:abstractNumId w:val="41"/>
  </w:num>
  <w:num w:numId="37">
    <w:abstractNumId w:val="23"/>
  </w:num>
  <w:num w:numId="38">
    <w:abstractNumId w:val="20"/>
  </w:num>
  <w:num w:numId="39">
    <w:abstractNumId w:val="34"/>
  </w:num>
  <w:num w:numId="40">
    <w:abstractNumId w:val="51"/>
  </w:num>
  <w:num w:numId="41">
    <w:abstractNumId w:val="15"/>
  </w:num>
  <w:num w:numId="42">
    <w:abstractNumId w:val="1"/>
  </w:num>
  <w:num w:numId="43">
    <w:abstractNumId w:val="9"/>
  </w:num>
  <w:num w:numId="44">
    <w:abstractNumId w:val="29"/>
  </w:num>
  <w:num w:numId="45">
    <w:abstractNumId w:val="30"/>
  </w:num>
  <w:num w:numId="46">
    <w:abstractNumId w:val="3"/>
  </w:num>
  <w:num w:numId="47">
    <w:abstractNumId w:val="45"/>
  </w:num>
  <w:num w:numId="48">
    <w:abstractNumId w:val="49"/>
  </w:num>
  <w:num w:numId="49">
    <w:abstractNumId w:val="39"/>
  </w:num>
  <w:num w:numId="50">
    <w:abstractNumId w:val="35"/>
  </w:num>
  <w:num w:numId="51">
    <w:abstractNumId w:val="48"/>
  </w:num>
  <w:num w:numId="52">
    <w:abstractNumId w:val="10"/>
  </w:num>
  <w:num w:numId="53">
    <w:abstractNumId w:val="27"/>
  </w:num>
  <w:num w:numId="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E43BF"/>
    <w:rsid w:val="015D6BAC"/>
    <w:rsid w:val="01C77B2D"/>
    <w:rsid w:val="01DB0A3F"/>
    <w:rsid w:val="026F3B07"/>
    <w:rsid w:val="02787D4E"/>
    <w:rsid w:val="02C95F7F"/>
    <w:rsid w:val="0342742D"/>
    <w:rsid w:val="037800D1"/>
    <w:rsid w:val="047B0C7D"/>
    <w:rsid w:val="05091DBA"/>
    <w:rsid w:val="05241B93"/>
    <w:rsid w:val="052A5267"/>
    <w:rsid w:val="05B7010D"/>
    <w:rsid w:val="071E0827"/>
    <w:rsid w:val="07235229"/>
    <w:rsid w:val="0765792F"/>
    <w:rsid w:val="089F7EAE"/>
    <w:rsid w:val="08AA30FB"/>
    <w:rsid w:val="0A8261C4"/>
    <w:rsid w:val="0AC333CB"/>
    <w:rsid w:val="0AC92FC0"/>
    <w:rsid w:val="0AFC7469"/>
    <w:rsid w:val="0F1166C7"/>
    <w:rsid w:val="0FEB1C2B"/>
    <w:rsid w:val="11F2097D"/>
    <w:rsid w:val="15545B7C"/>
    <w:rsid w:val="165F6ECF"/>
    <w:rsid w:val="175A792D"/>
    <w:rsid w:val="17DB4333"/>
    <w:rsid w:val="18291FDC"/>
    <w:rsid w:val="184C3933"/>
    <w:rsid w:val="186C48D3"/>
    <w:rsid w:val="19FB0225"/>
    <w:rsid w:val="1A882459"/>
    <w:rsid w:val="1AA8403E"/>
    <w:rsid w:val="1AE856E5"/>
    <w:rsid w:val="1B8F3DB2"/>
    <w:rsid w:val="1BD54CEE"/>
    <w:rsid w:val="1BF053ED"/>
    <w:rsid w:val="1C21175D"/>
    <w:rsid w:val="1C4070F3"/>
    <w:rsid w:val="1C427646"/>
    <w:rsid w:val="1F9E45C4"/>
    <w:rsid w:val="21837FF9"/>
    <w:rsid w:val="224D5786"/>
    <w:rsid w:val="22CD6F6E"/>
    <w:rsid w:val="23887A65"/>
    <w:rsid w:val="23F32A04"/>
    <w:rsid w:val="2658441D"/>
    <w:rsid w:val="265E1D99"/>
    <w:rsid w:val="269F3717"/>
    <w:rsid w:val="27514612"/>
    <w:rsid w:val="27883498"/>
    <w:rsid w:val="2B51698E"/>
    <w:rsid w:val="2B650339"/>
    <w:rsid w:val="2B786611"/>
    <w:rsid w:val="2C201ABF"/>
    <w:rsid w:val="2CAA764A"/>
    <w:rsid w:val="2D74105A"/>
    <w:rsid w:val="2DE81100"/>
    <w:rsid w:val="2E114AFB"/>
    <w:rsid w:val="2EC8340B"/>
    <w:rsid w:val="2FBC4F11"/>
    <w:rsid w:val="2FE9188B"/>
    <w:rsid w:val="30052AD8"/>
    <w:rsid w:val="30A77050"/>
    <w:rsid w:val="317E6003"/>
    <w:rsid w:val="33D41D0F"/>
    <w:rsid w:val="340426AC"/>
    <w:rsid w:val="346E6803"/>
    <w:rsid w:val="37490E61"/>
    <w:rsid w:val="37E92A4B"/>
    <w:rsid w:val="3801798E"/>
    <w:rsid w:val="3899674B"/>
    <w:rsid w:val="38AE1767"/>
    <w:rsid w:val="38CD5485"/>
    <w:rsid w:val="399D7F08"/>
    <w:rsid w:val="39CE1AF2"/>
    <w:rsid w:val="39D33525"/>
    <w:rsid w:val="3A1914D4"/>
    <w:rsid w:val="3AEC78C1"/>
    <w:rsid w:val="3E952BDE"/>
    <w:rsid w:val="401638B0"/>
    <w:rsid w:val="41814752"/>
    <w:rsid w:val="44B21147"/>
    <w:rsid w:val="455A509C"/>
    <w:rsid w:val="45B95404"/>
    <w:rsid w:val="45D0214D"/>
    <w:rsid w:val="45F20916"/>
    <w:rsid w:val="46DC369B"/>
    <w:rsid w:val="47D97FDF"/>
    <w:rsid w:val="487745B6"/>
    <w:rsid w:val="48AA70B9"/>
    <w:rsid w:val="48D16F09"/>
    <w:rsid w:val="49444977"/>
    <w:rsid w:val="4A1D4402"/>
    <w:rsid w:val="4AF27391"/>
    <w:rsid w:val="4DDF13D3"/>
    <w:rsid w:val="4DFE60AA"/>
    <w:rsid w:val="4F955FA4"/>
    <w:rsid w:val="50210776"/>
    <w:rsid w:val="51ED4DB3"/>
    <w:rsid w:val="52094756"/>
    <w:rsid w:val="52B40656"/>
    <w:rsid w:val="53032F5F"/>
    <w:rsid w:val="535449BE"/>
    <w:rsid w:val="535F3A8F"/>
    <w:rsid w:val="53856944"/>
    <w:rsid w:val="548E6AF4"/>
    <w:rsid w:val="54AC7556"/>
    <w:rsid w:val="5A457BD5"/>
    <w:rsid w:val="5BE15DD7"/>
    <w:rsid w:val="5D09003F"/>
    <w:rsid w:val="5D242F88"/>
    <w:rsid w:val="5D796F88"/>
    <w:rsid w:val="5E0B21E2"/>
    <w:rsid w:val="5E7E2933"/>
    <w:rsid w:val="605A2C70"/>
    <w:rsid w:val="60A21014"/>
    <w:rsid w:val="60D1764E"/>
    <w:rsid w:val="60D84E80"/>
    <w:rsid w:val="61526CF6"/>
    <w:rsid w:val="62E0626E"/>
    <w:rsid w:val="63714873"/>
    <w:rsid w:val="63AB3071"/>
    <w:rsid w:val="6416149A"/>
    <w:rsid w:val="654B3E73"/>
    <w:rsid w:val="659B3C39"/>
    <w:rsid w:val="65EC32C5"/>
    <w:rsid w:val="66C50F22"/>
    <w:rsid w:val="66F73C27"/>
    <w:rsid w:val="67726FE8"/>
    <w:rsid w:val="67DD1760"/>
    <w:rsid w:val="68B7537B"/>
    <w:rsid w:val="691140B1"/>
    <w:rsid w:val="6A0F495F"/>
    <w:rsid w:val="6A100511"/>
    <w:rsid w:val="6AF1726A"/>
    <w:rsid w:val="6C2A696F"/>
    <w:rsid w:val="6CCE0EE6"/>
    <w:rsid w:val="6D147240"/>
    <w:rsid w:val="6D881C5D"/>
    <w:rsid w:val="6DC9627D"/>
    <w:rsid w:val="6E4A16E9"/>
    <w:rsid w:val="6E900B48"/>
    <w:rsid w:val="6F7A5179"/>
    <w:rsid w:val="6FF0068F"/>
    <w:rsid w:val="721F755E"/>
    <w:rsid w:val="72361A07"/>
    <w:rsid w:val="72935BA2"/>
    <w:rsid w:val="72D55FA8"/>
    <w:rsid w:val="730D0DE7"/>
    <w:rsid w:val="73AA00A4"/>
    <w:rsid w:val="73CD1EF7"/>
    <w:rsid w:val="749165E1"/>
    <w:rsid w:val="75E4506E"/>
    <w:rsid w:val="76881E85"/>
    <w:rsid w:val="78A579D7"/>
    <w:rsid w:val="79607369"/>
    <w:rsid w:val="79E7658E"/>
    <w:rsid w:val="7ABA7151"/>
    <w:rsid w:val="7ADC3EF9"/>
    <w:rsid w:val="7E6555AE"/>
    <w:rsid w:val="7FBF128D"/>
    <w:rsid w:val="7FD85C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iPriority="0" w:semiHidden="0" w:name="table of figures"/>
    <w:lsdException w:uiPriority="99" w:name="envelope address"/>
    <w:lsdException w:qFormat="1" w:uiPriority="99" w:semiHidden="0" w:name="envelope return"/>
    <w:lsdException w:qFormat="1"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4">
    <w:name w:val="heading 1"/>
    <w:next w:val="1"/>
    <w:link w:val="78"/>
    <w:qFormat/>
    <w:uiPriority w:val="0"/>
    <w:pPr>
      <w:widowControl w:val="0"/>
      <w:spacing w:before="240" w:after="120" w:line="360" w:lineRule="auto"/>
      <w:outlineLvl w:val="0"/>
    </w:pPr>
    <w:rPr>
      <w:rFonts w:hint="default" w:ascii="宋体" w:hAnsi="宋体" w:eastAsia="宋体" w:cs="宋体"/>
      <w:b/>
      <w:bCs/>
      <w:sz w:val="24"/>
      <w:szCs w:val="30"/>
    </w:rPr>
  </w:style>
  <w:style w:type="paragraph" w:styleId="5">
    <w:name w:val="heading 2"/>
    <w:basedOn w:val="1"/>
    <w:next w:val="1"/>
    <w:link w:val="268"/>
    <w:qFormat/>
    <w:uiPriority w:val="0"/>
    <w:pPr>
      <w:spacing w:after="120" w:line="360" w:lineRule="auto"/>
      <w:outlineLvl w:val="1"/>
    </w:pPr>
    <w:rPr>
      <w:b/>
      <w:sz w:val="24"/>
    </w:rPr>
  </w:style>
  <w:style w:type="paragraph" w:styleId="6">
    <w:name w:val="heading 3"/>
    <w:next w:val="1"/>
    <w:link w:val="269"/>
    <w:qFormat/>
    <w:uiPriority w:val="99"/>
    <w:pPr>
      <w:widowControl w:val="0"/>
      <w:spacing w:after="120" w:line="360" w:lineRule="auto"/>
      <w:outlineLvl w:val="2"/>
    </w:pPr>
    <w:rPr>
      <w:rFonts w:hint="default" w:ascii="Times New Roman" w:hAnsi="Times New Roman" w:eastAsia="宋体" w:cs="Times New Roman"/>
      <w:b/>
      <w:sz w:val="24"/>
    </w:rPr>
  </w:style>
  <w:style w:type="paragraph" w:styleId="7">
    <w:name w:val="heading 4"/>
    <w:next w:val="1"/>
    <w:link w:val="270"/>
    <w:qFormat/>
    <w:uiPriority w:val="0"/>
    <w:pPr>
      <w:widowControl w:val="0"/>
      <w:spacing w:after="120" w:line="360" w:lineRule="auto"/>
      <w:outlineLvl w:val="3"/>
    </w:pPr>
    <w:rPr>
      <w:rFonts w:hint="default" w:ascii="Times New Roman" w:hAnsi="Times New Roman" w:eastAsia="宋体" w:cs="Times New Roman"/>
      <w:sz w:val="24"/>
    </w:rPr>
  </w:style>
  <w:style w:type="paragraph" w:styleId="8">
    <w:name w:val="heading 5"/>
    <w:next w:val="1"/>
    <w:link w:val="271"/>
    <w:qFormat/>
    <w:uiPriority w:val="0"/>
    <w:pPr>
      <w:widowControl w:val="0"/>
      <w:spacing w:after="120" w:line="440" w:lineRule="exact"/>
      <w:outlineLvl w:val="4"/>
    </w:pPr>
    <w:rPr>
      <w:rFonts w:hint="default" w:ascii="Times New Roman" w:hAnsi="Times New Roman" w:eastAsia="宋体" w:cs="Times New Roman"/>
      <w:sz w:val="24"/>
    </w:rPr>
  </w:style>
  <w:style w:type="paragraph" w:styleId="9">
    <w:name w:val="heading 6"/>
    <w:next w:val="10"/>
    <w:link w:val="272"/>
    <w:qFormat/>
    <w:uiPriority w:val="0"/>
    <w:pPr>
      <w:widowControl w:val="0"/>
      <w:spacing w:after="120" w:line="360" w:lineRule="auto"/>
      <w:outlineLvl w:val="5"/>
    </w:pPr>
    <w:rPr>
      <w:rFonts w:hint="default" w:ascii="Times New Roman" w:hAnsi="Times New Roman" w:eastAsia="宋体" w:cs="Times New Roman"/>
      <w:sz w:val="24"/>
    </w:rPr>
  </w:style>
  <w:style w:type="paragraph" w:styleId="11">
    <w:name w:val="heading 7"/>
    <w:next w:val="1"/>
    <w:link w:val="274"/>
    <w:qFormat/>
    <w:uiPriority w:val="0"/>
    <w:pPr>
      <w:widowControl w:val="0"/>
      <w:spacing w:after="120" w:line="360" w:lineRule="auto"/>
      <w:outlineLvl w:val="6"/>
    </w:pPr>
    <w:rPr>
      <w:rFonts w:hint="default" w:ascii="Times New Roman" w:hAnsi="Times New Roman" w:eastAsia="宋体" w:cs="Times New Roman"/>
      <w:sz w:val="24"/>
    </w:rPr>
  </w:style>
  <w:style w:type="paragraph" w:styleId="12">
    <w:name w:val="heading 8"/>
    <w:next w:val="1"/>
    <w:link w:val="275"/>
    <w:qFormat/>
    <w:uiPriority w:val="0"/>
    <w:pPr>
      <w:widowControl w:val="0"/>
      <w:spacing w:after="120" w:line="360" w:lineRule="auto"/>
      <w:outlineLvl w:val="7"/>
    </w:pPr>
    <w:rPr>
      <w:rFonts w:hint="default" w:ascii="Times New Roman" w:hAnsi="Times New Roman" w:eastAsia="宋体" w:cs="Times New Roman"/>
      <w:sz w:val="24"/>
    </w:rPr>
  </w:style>
  <w:style w:type="paragraph" w:styleId="13">
    <w:name w:val="heading 9"/>
    <w:next w:val="1"/>
    <w:link w:val="276"/>
    <w:qFormat/>
    <w:uiPriority w:val="0"/>
    <w:pPr>
      <w:widowControl w:val="0"/>
      <w:spacing w:after="120" w:line="360" w:lineRule="auto"/>
      <w:outlineLvl w:val="8"/>
    </w:pPr>
    <w:rPr>
      <w:rFonts w:hint="default" w:ascii="Times New Roman" w:hAnsi="Times New Roman" w:eastAsia="宋体" w:cs="Times New Roman"/>
      <w:sz w:val="24"/>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rPr>
      <w:sz w:val="21"/>
      <w:lang w:val="zh-CN"/>
    </w:rPr>
  </w:style>
  <w:style w:type="paragraph" w:styleId="3">
    <w:name w:val="Body Text"/>
    <w:basedOn w:val="1"/>
    <w:next w:val="1"/>
    <w:link w:val="279"/>
    <w:qFormat/>
    <w:uiPriority w:val="0"/>
    <w:pPr>
      <w:spacing w:after="120" w:line="360" w:lineRule="auto"/>
      <w:ind w:firstLine="420"/>
    </w:pPr>
    <w:rPr>
      <w:sz w:val="24"/>
    </w:rPr>
  </w:style>
  <w:style w:type="paragraph" w:styleId="10">
    <w:name w:val="Normal Indent"/>
    <w:basedOn w:val="1"/>
    <w:link w:val="273"/>
    <w:qFormat/>
    <w:uiPriority w:val="0"/>
    <w:pPr>
      <w:ind w:firstLine="420"/>
    </w:pPr>
    <w:rPr>
      <w:sz w:val="20"/>
      <w:szCs w:val="20"/>
    </w:rPr>
  </w:style>
  <w:style w:type="paragraph" w:styleId="14">
    <w:name w:val="List 3"/>
    <w:basedOn w:val="1"/>
    <w:qFormat/>
    <w:uiPriority w:val="0"/>
    <w:pPr>
      <w:ind w:left="100" w:hanging="200"/>
    </w:pPr>
    <w:rPr>
      <w:szCs w:val="21"/>
    </w:rPr>
  </w:style>
  <w:style w:type="paragraph" w:styleId="15">
    <w:name w:val="toc 7"/>
    <w:basedOn w:val="1"/>
    <w:next w:val="1"/>
    <w:unhideWhenUsed/>
    <w:qFormat/>
    <w:uiPriority w:val="39"/>
    <w:pPr>
      <w:spacing w:after="57"/>
      <w:ind w:left="1701"/>
    </w:pPr>
  </w:style>
  <w:style w:type="paragraph" w:styleId="16">
    <w:name w:val="index 8"/>
    <w:basedOn w:val="1"/>
    <w:next w:val="1"/>
    <w:qFormat/>
    <w:uiPriority w:val="0"/>
    <w:pPr>
      <w:ind w:left="2940"/>
    </w:pPr>
    <w:rPr>
      <w:rFonts w:ascii="Calibri" w:hAnsi="Calibri" w:eastAsia="楷体_GB2312"/>
      <w:sz w:val="26"/>
      <w:szCs w:val="20"/>
    </w:rPr>
  </w:style>
  <w:style w:type="paragraph" w:styleId="17">
    <w:name w:val="caption"/>
    <w:basedOn w:val="1"/>
    <w:next w:val="1"/>
    <w:semiHidden/>
    <w:unhideWhenUsed/>
    <w:qFormat/>
    <w:uiPriority w:val="35"/>
    <w:pPr>
      <w:spacing w:line="276" w:lineRule="auto"/>
    </w:pPr>
    <w:rPr>
      <w:b/>
      <w:bCs/>
      <w:color w:val="4F81BD"/>
      <w:sz w:val="18"/>
      <w:szCs w:val="18"/>
    </w:rPr>
  </w:style>
  <w:style w:type="paragraph" w:styleId="18">
    <w:name w:val="index 5"/>
    <w:basedOn w:val="1"/>
    <w:next w:val="1"/>
    <w:qFormat/>
    <w:uiPriority w:val="0"/>
    <w:pPr>
      <w:ind w:left="1680"/>
    </w:pPr>
    <w:rPr>
      <w:rFonts w:ascii="Calibri" w:hAnsi="Calibri" w:eastAsia="楷体_GB2312"/>
      <w:sz w:val="26"/>
      <w:szCs w:val="20"/>
    </w:rPr>
  </w:style>
  <w:style w:type="paragraph" w:styleId="19">
    <w:name w:val="Document Map"/>
    <w:basedOn w:val="1"/>
    <w:link w:val="277"/>
    <w:qFormat/>
    <w:uiPriority w:val="0"/>
    <w:pPr>
      <w:shd w:val="clear" w:color="auto" w:fill="000080"/>
    </w:pPr>
    <w:rPr>
      <w:sz w:val="20"/>
    </w:rPr>
  </w:style>
  <w:style w:type="paragraph" w:styleId="20">
    <w:name w:val="toa heading"/>
    <w:basedOn w:val="1"/>
    <w:next w:val="1"/>
    <w:qFormat/>
    <w:uiPriority w:val="0"/>
    <w:rPr>
      <w:rFonts w:ascii="Arial" w:hAnsi="Arial"/>
      <w:sz w:val="24"/>
      <w:szCs w:val="21"/>
    </w:rPr>
  </w:style>
  <w:style w:type="paragraph" w:styleId="21">
    <w:name w:val="annotation text"/>
    <w:basedOn w:val="1"/>
    <w:link w:val="354"/>
    <w:unhideWhenUsed/>
    <w:qFormat/>
    <w:uiPriority w:val="0"/>
    <w:pPr>
      <w:jc w:val="left"/>
    </w:pPr>
    <w:rPr>
      <w:rFonts w:ascii="Calibri" w:hAnsi="Calibri"/>
      <w:szCs w:val="22"/>
    </w:rPr>
  </w:style>
  <w:style w:type="paragraph" w:styleId="22">
    <w:name w:val="index 6"/>
    <w:basedOn w:val="1"/>
    <w:next w:val="1"/>
    <w:qFormat/>
    <w:uiPriority w:val="0"/>
    <w:pPr>
      <w:ind w:left="2100"/>
    </w:pPr>
    <w:rPr>
      <w:rFonts w:ascii="Calibri" w:hAnsi="Calibri" w:eastAsia="楷体_GB2312"/>
      <w:sz w:val="26"/>
      <w:szCs w:val="20"/>
    </w:rPr>
  </w:style>
  <w:style w:type="paragraph" w:styleId="23">
    <w:name w:val="Body Text 3"/>
    <w:basedOn w:val="1"/>
    <w:link w:val="278"/>
    <w:qFormat/>
    <w:uiPriority w:val="0"/>
    <w:pPr>
      <w:spacing w:after="120"/>
    </w:pPr>
    <w:rPr>
      <w:sz w:val="16"/>
      <w:szCs w:val="16"/>
    </w:rPr>
  </w:style>
  <w:style w:type="paragraph" w:styleId="24">
    <w:name w:val="Body Text Indent"/>
    <w:basedOn w:val="1"/>
    <w:next w:val="25"/>
    <w:link w:val="280"/>
    <w:qFormat/>
    <w:uiPriority w:val="0"/>
    <w:pPr>
      <w:ind w:left="765"/>
    </w:pPr>
    <w:rPr>
      <w:rFonts w:ascii="仿宋_GB2312" w:eastAsia="仿宋_GB2312"/>
      <w:sz w:val="28"/>
      <w:szCs w:val="20"/>
    </w:rPr>
  </w:style>
  <w:style w:type="paragraph" w:styleId="25">
    <w:name w:val="envelope return"/>
    <w:basedOn w:val="1"/>
    <w:unhideWhenUsed/>
    <w:qFormat/>
    <w:uiPriority w:val="99"/>
    <w:rPr>
      <w:rFonts w:ascii="Arial" w:hAnsi="Arial"/>
      <w:szCs w:val="22"/>
    </w:rPr>
  </w:style>
  <w:style w:type="paragraph" w:styleId="26">
    <w:name w:val="List 2"/>
    <w:basedOn w:val="1"/>
    <w:qFormat/>
    <w:uiPriority w:val="0"/>
    <w:pPr>
      <w:ind w:left="100" w:hanging="200"/>
    </w:pPr>
    <w:rPr>
      <w:szCs w:val="21"/>
    </w:rPr>
  </w:style>
  <w:style w:type="paragraph" w:styleId="27">
    <w:name w:val="Block Text"/>
    <w:basedOn w:val="1"/>
    <w:next w:val="3"/>
    <w:qFormat/>
    <w:uiPriority w:val="0"/>
    <w:pPr>
      <w:spacing w:line="360" w:lineRule="auto"/>
      <w:ind w:firstLine="640"/>
      <w:jc w:val="left"/>
    </w:pPr>
    <w:rPr>
      <w:sz w:val="24"/>
      <w:szCs w:val="22"/>
    </w:rPr>
  </w:style>
  <w:style w:type="paragraph" w:styleId="28">
    <w:name w:val="index 4"/>
    <w:basedOn w:val="1"/>
    <w:next w:val="1"/>
    <w:qFormat/>
    <w:uiPriority w:val="0"/>
    <w:pPr>
      <w:ind w:left="1260"/>
    </w:pPr>
    <w:rPr>
      <w:rFonts w:ascii="Calibri" w:hAnsi="Calibri"/>
      <w:szCs w:val="20"/>
    </w:rPr>
  </w:style>
  <w:style w:type="paragraph" w:styleId="29">
    <w:name w:val="toc 5"/>
    <w:basedOn w:val="1"/>
    <w:next w:val="1"/>
    <w:unhideWhenUsed/>
    <w:qFormat/>
    <w:uiPriority w:val="39"/>
    <w:pPr>
      <w:spacing w:after="57"/>
      <w:ind w:left="1134"/>
    </w:pPr>
  </w:style>
  <w:style w:type="paragraph" w:styleId="30">
    <w:name w:val="toc 3"/>
    <w:basedOn w:val="1"/>
    <w:next w:val="1"/>
    <w:unhideWhenUsed/>
    <w:qFormat/>
    <w:uiPriority w:val="39"/>
    <w:pPr>
      <w:spacing w:after="57"/>
      <w:ind w:left="567"/>
    </w:pPr>
  </w:style>
  <w:style w:type="paragraph" w:styleId="31">
    <w:name w:val="Plain Text"/>
    <w:basedOn w:val="1"/>
    <w:link w:val="281"/>
    <w:qFormat/>
    <w:uiPriority w:val="0"/>
    <w:rPr>
      <w:rFonts w:ascii="宋体" w:hAnsi="Courier New"/>
      <w:sz w:val="20"/>
      <w:szCs w:val="21"/>
    </w:rPr>
  </w:style>
  <w:style w:type="paragraph" w:styleId="32">
    <w:name w:val="toc 8"/>
    <w:basedOn w:val="1"/>
    <w:next w:val="1"/>
    <w:unhideWhenUsed/>
    <w:qFormat/>
    <w:uiPriority w:val="39"/>
    <w:pPr>
      <w:spacing w:after="57"/>
      <w:ind w:left="1984"/>
    </w:pPr>
  </w:style>
  <w:style w:type="paragraph" w:styleId="33">
    <w:name w:val="index 3"/>
    <w:basedOn w:val="1"/>
    <w:next w:val="1"/>
    <w:qFormat/>
    <w:uiPriority w:val="0"/>
    <w:pPr>
      <w:ind w:left="840"/>
    </w:pPr>
    <w:rPr>
      <w:rFonts w:ascii="Calibri" w:hAnsi="Calibri" w:eastAsia="楷体_GB2312"/>
      <w:sz w:val="26"/>
      <w:szCs w:val="20"/>
    </w:rPr>
  </w:style>
  <w:style w:type="paragraph" w:styleId="34">
    <w:name w:val="Date"/>
    <w:basedOn w:val="1"/>
    <w:next w:val="1"/>
    <w:link w:val="282"/>
    <w:qFormat/>
    <w:uiPriority w:val="0"/>
    <w:rPr>
      <w:sz w:val="24"/>
      <w:szCs w:val="20"/>
    </w:rPr>
  </w:style>
  <w:style w:type="paragraph" w:styleId="35">
    <w:name w:val="Body Text Indent 2"/>
    <w:basedOn w:val="1"/>
    <w:link w:val="283"/>
    <w:qFormat/>
    <w:uiPriority w:val="0"/>
    <w:pPr>
      <w:spacing w:line="500" w:lineRule="exact"/>
      <w:ind w:firstLine="560"/>
    </w:pPr>
    <w:rPr>
      <w:rFonts w:eastAsia="仿宋_GB2312"/>
      <w:sz w:val="28"/>
      <w:szCs w:val="20"/>
    </w:rPr>
  </w:style>
  <w:style w:type="paragraph" w:styleId="36">
    <w:name w:val="endnote text"/>
    <w:basedOn w:val="1"/>
    <w:link w:val="266"/>
    <w:semiHidden/>
    <w:unhideWhenUsed/>
    <w:qFormat/>
    <w:uiPriority w:val="99"/>
    <w:rPr>
      <w:sz w:val="20"/>
    </w:rPr>
  </w:style>
  <w:style w:type="paragraph" w:styleId="37">
    <w:name w:val="Balloon Text"/>
    <w:basedOn w:val="1"/>
    <w:link w:val="284"/>
    <w:qFormat/>
    <w:uiPriority w:val="0"/>
    <w:rPr>
      <w:sz w:val="18"/>
      <w:szCs w:val="18"/>
    </w:rPr>
  </w:style>
  <w:style w:type="paragraph" w:styleId="38">
    <w:name w:val="footer"/>
    <w:basedOn w:val="1"/>
    <w:link w:val="285"/>
    <w:qFormat/>
    <w:uiPriority w:val="99"/>
    <w:pPr>
      <w:tabs>
        <w:tab w:val="center" w:pos="4153"/>
        <w:tab w:val="right" w:pos="8306"/>
      </w:tabs>
      <w:jc w:val="left"/>
    </w:pPr>
    <w:rPr>
      <w:sz w:val="18"/>
      <w:szCs w:val="20"/>
    </w:rPr>
  </w:style>
  <w:style w:type="paragraph" w:styleId="39">
    <w:name w:val="header"/>
    <w:basedOn w:val="1"/>
    <w:link w:val="286"/>
    <w:qFormat/>
    <w:uiPriority w:val="99"/>
    <w:pPr>
      <w:pBdr>
        <w:bottom w:val="single" w:color="000000" w:sz="6" w:space="1"/>
      </w:pBdr>
      <w:tabs>
        <w:tab w:val="center" w:pos="4153"/>
        <w:tab w:val="right" w:pos="8306"/>
      </w:tabs>
      <w:jc w:val="center"/>
    </w:pPr>
    <w:rPr>
      <w:sz w:val="18"/>
      <w:szCs w:val="18"/>
    </w:rPr>
  </w:style>
  <w:style w:type="paragraph" w:styleId="40">
    <w:name w:val="Signature"/>
    <w:basedOn w:val="1"/>
    <w:link w:val="355"/>
    <w:qFormat/>
    <w:uiPriority w:val="0"/>
    <w:pPr>
      <w:spacing w:after="600" w:line="312" w:lineRule="atLeast"/>
      <w:jc w:val="center"/>
    </w:pPr>
    <w:rPr>
      <w:rFonts w:ascii="Calibri" w:hAnsi="Calibri" w:eastAsia="仿宋_GB2312"/>
      <w:sz w:val="24"/>
      <w:szCs w:val="20"/>
    </w:rPr>
  </w:style>
  <w:style w:type="paragraph" w:styleId="41">
    <w:name w:val="toc 1"/>
    <w:basedOn w:val="1"/>
    <w:next w:val="1"/>
    <w:unhideWhenUsed/>
    <w:qFormat/>
    <w:uiPriority w:val="39"/>
    <w:pPr>
      <w:spacing w:after="57"/>
    </w:pPr>
  </w:style>
  <w:style w:type="paragraph" w:styleId="42">
    <w:name w:val="toc 4"/>
    <w:basedOn w:val="1"/>
    <w:next w:val="1"/>
    <w:unhideWhenUsed/>
    <w:qFormat/>
    <w:uiPriority w:val="39"/>
    <w:pPr>
      <w:spacing w:after="57"/>
      <w:ind w:left="850"/>
    </w:pPr>
  </w:style>
  <w:style w:type="paragraph" w:styleId="43">
    <w:name w:val="index heading"/>
    <w:basedOn w:val="1"/>
    <w:next w:val="44"/>
    <w:qFormat/>
    <w:uiPriority w:val="0"/>
    <w:rPr>
      <w:rFonts w:ascii="Calibri" w:hAnsi="Calibri" w:eastAsia="楷体_GB2312"/>
      <w:sz w:val="26"/>
      <w:szCs w:val="20"/>
    </w:rPr>
  </w:style>
  <w:style w:type="paragraph" w:styleId="44">
    <w:name w:val="index 1"/>
    <w:basedOn w:val="1"/>
    <w:next w:val="1"/>
    <w:unhideWhenUsed/>
    <w:qFormat/>
    <w:uiPriority w:val="0"/>
  </w:style>
  <w:style w:type="paragraph" w:styleId="45">
    <w:name w:val="Subtitle"/>
    <w:next w:val="1"/>
    <w:link w:val="149"/>
    <w:qFormat/>
    <w:uiPriority w:val="11"/>
    <w:pPr>
      <w:widowControl w:val="0"/>
      <w:spacing w:after="240"/>
      <w:jc w:val="center"/>
    </w:pPr>
    <w:rPr>
      <w:rFonts w:hint="default" w:ascii="Times New Roman" w:hAnsi="Times New Roman" w:eastAsia="宋体" w:cs="Times New Roman"/>
      <w:sz w:val="21"/>
    </w:rPr>
  </w:style>
  <w:style w:type="paragraph" w:styleId="46">
    <w:name w:val="List"/>
    <w:basedOn w:val="1"/>
    <w:qFormat/>
    <w:uiPriority w:val="0"/>
    <w:pPr>
      <w:ind w:left="200" w:hanging="200"/>
    </w:pPr>
  </w:style>
  <w:style w:type="paragraph" w:styleId="47">
    <w:name w:val="footnote text"/>
    <w:basedOn w:val="1"/>
    <w:link w:val="265"/>
    <w:unhideWhenUsed/>
    <w:qFormat/>
    <w:uiPriority w:val="0"/>
    <w:pPr>
      <w:spacing w:after="40"/>
    </w:pPr>
    <w:rPr>
      <w:sz w:val="18"/>
    </w:rPr>
  </w:style>
  <w:style w:type="paragraph" w:styleId="48">
    <w:name w:val="toc 6"/>
    <w:basedOn w:val="1"/>
    <w:next w:val="1"/>
    <w:unhideWhenUsed/>
    <w:qFormat/>
    <w:uiPriority w:val="39"/>
    <w:pPr>
      <w:spacing w:after="57"/>
      <w:ind w:left="1417"/>
    </w:pPr>
  </w:style>
  <w:style w:type="paragraph" w:styleId="49">
    <w:name w:val="Body Text Indent 3"/>
    <w:basedOn w:val="1"/>
    <w:link w:val="288"/>
    <w:qFormat/>
    <w:uiPriority w:val="0"/>
    <w:pPr>
      <w:spacing w:after="120"/>
      <w:ind w:left="420"/>
    </w:pPr>
    <w:rPr>
      <w:sz w:val="16"/>
      <w:szCs w:val="16"/>
    </w:rPr>
  </w:style>
  <w:style w:type="paragraph" w:styleId="50">
    <w:name w:val="index 7"/>
    <w:basedOn w:val="1"/>
    <w:next w:val="1"/>
    <w:qFormat/>
    <w:uiPriority w:val="0"/>
    <w:pPr>
      <w:ind w:left="2520"/>
    </w:pPr>
    <w:rPr>
      <w:rFonts w:ascii="Calibri" w:hAnsi="Calibri" w:eastAsia="楷体_GB2312"/>
      <w:sz w:val="26"/>
      <w:szCs w:val="20"/>
    </w:rPr>
  </w:style>
  <w:style w:type="paragraph" w:styleId="51">
    <w:name w:val="index 9"/>
    <w:basedOn w:val="1"/>
    <w:next w:val="1"/>
    <w:qFormat/>
    <w:uiPriority w:val="0"/>
    <w:pPr>
      <w:ind w:left="3360"/>
    </w:pPr>
    <w:rPr>
      <w:rFonts w:ascii="Calibri" w:hAnsi="Calibri" w:eastAsia="楷体_GB2312"/>
      <w:sz w:val="26"/>
      <w:szCs w:val="20"/>
    </w:rPr>
  </w:style>
  <w:style w:type="paragraph" w:styleId="52">
    <w:name w:val="table of figures"/>
    <w:basedOn w:val="1"/>
    <w:next w:val="1"/>
    <w:unhideWhenUsed/>
    <w:qFormat/>
    <w:uiPriority w:val="0"/>
  </w:style>
  <w:style w:type="paragraph" w:styleId="53">
    <w:name w:val="toc 2"/>
    <w:basedOn w:val="1"/>
    <w:next w:val="1"/>
    <w:unhideWhenUsed/>
    <w:qFormat/>
    <w:uiPriority w:val="39"/>
    <w:pPr>
      <w:spacing w:after="57"/>
      <w:ind w:left="283"/>
    </w:pPr>
  </w:style>
  <w:style w:type="paragraph" w:styleId="54">
    <w:name w:val="toc 9"/>
    <w:basedOn w:val="1"/>
    <w:next w:val="1"/>
    <w:unhideWhenUsed/>
    <w:qFormat/>
    <w:uiPriority w:val="39"/>
    <w:pPr>
      <w:spacing w:after="57"/>
      <w:ind w:left="2268"/>
    </w:pPr>
  </w:style>
  <w:style w:type="paragraph" w:styleId="55">
    <w:name w:val="Body Text 2"/>
    <w:basedOn w:val="1"/>
    <w:link w:val="289"/>
    <w:qFormat/>
    <w:uiPriority w:val="0"/>
    <w:rPr>
      <w:b/>
      <w:bCs/>
      <w:sz w:val="18"/>
    </w:rPr>
  </w:style>
  <w:style w:type="paragraph" w:styleId="56">
    <w:name w:val="HTML Preformatted"/>
    <w:basedOn w:val="1"/>
    <w:link w:val="29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等线 Light" w:hAnsi="等线 Light" w:eastAsia="幼圆" w:cs="等线 Light"/>
      <w:sz w:val="24"/>
      <w:szCs w:val="22"/>
    </w:rPr>
  </w:style>
  <w:style w:type="paragraph" w:styleId="57">
    <w:name w:val="Normal (Web)"/>
    <w:basedOn w:val="1"/>
    <w:link w:val="549"/>
    <w:qFormat/>
    <w:uiPriority w:val="0"/>
    <w:pPr>
      <w:widowControl/>
      <w:spacing w:before="100" w:beforeAutospacing="1" w:after="100" w:afterAutospacing="1"/>
      <w:jc w:val="left"/>
    </w:pPr>
    <w:rPr>
      <w:rFonts w:ascii="宋体" w:hAnsi="宋体"/>
      <w:color w:val="000000"/>
      <w:sz w:val="24"/>
    </w:rPr>
  </w:style>
  <w:style w:type="paragraph" w:styleId="58">
    <w:name w:val="index 2"/>
    <w:basedOn w:val="1"/>
    <w:next w:val="1"/>
    <w:qFormat/>
    <w:uiPriority w:val="0"/>
    <w:pPr>
      <w:ind w:left="420"/>
    </w:pPr>
    <w:rPr>
      <w:rFonts w:ascii="Calibri" w:hAnsi="Calibri" w:eastAsia="楷体_GB2312"/>
      <w:sz w:val="26"/>
      <w:szCs w:val="20"/>
    </w:rPr>
  </w:style>
  <w:style w:type="paragraph" w:styleId="59">
    <w:name w:val="Title"/>
    <w:next w:val="1"/>
    <w:link w:val="148"/>
    <w:qFormat/>
    <w:uiPriority w:val="10"/>
    <w:pPr>
      <w:spacing w:before="240" w:after="240"/>
      <w:jc w:val="center"/>
    </w:pPr>
    <w:rPr>
      <w:rFonts w:hint="default" w:ascii="Times New Roman" w:hAnsi="Times New Roman" w:eastAsia="宋体" w:cs="Times New Roman"/>
      <w:b/>
      <w:sz w:val="32"/>
    </w:rPr>
  </w:style>
  <w:style w:type="paragraph" w:styleId="60">
    <w:name w:val="annotation subject"/>
    <w:basedOn w:val="21"/>
    <w:next w:val="21"/>
    <w:link w:val="356"/>
    <w:qFormat/>
    <w:uiPriority w:val="99"/>
    <w:rPr>
      <w:rFonts w:ascii="Times New Roman" w:hAnsi="Times New Roman"/>
      <w:b/>
      <w:bCs/>
      <w:sz w:val="20"/>
      <w:szCs w:val="21"/>
    </w:rPr>
  </w:style>
  <w:style w:type="paragraph" w:styleId="61">
    <w:name w:val="Body Text First Indent 2"/>
    <w:basedOn w:val="24"/>
    <w:unhideWhenUsed/>
    <w:qFormat/>
    <w:uiPriority w:val="0"/>
    <w:pPr>
      <w:spacing w:line="360" w:lineRule="auto"/>
      <w:ind w:left="0"/>
      <w:jc w:val="center"/>
    </w:pPr>
    <w:rPr>
      <w:rFonts w:ascii="Times New Roman" w:eastAsia="宋体" w:cs="宋体"/>
      <w:b/>
      <w:color w:val="000000" w:themeColor="text1"/>
      <w:sz w:val="48"/>
      <w:szCs w:val="48"/>
      <w14:textFill>
        <w14:solidFill>
          <w14:schemeClr w14:val="tx1"/>
        </w14:solidFill>
      </w14:textFill>
    </w:rPr>
  </w:style>
  <w:style w:type="table" w:styleId="63">
    <w:name w:val="Table Grid"/>
    <w:basedOn w:val="6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
    <w:name w:val="Strong"/>
    <w:qFormat/>
    <w:uiPriority w:val="22"/>
    <w:rPr>
      <w:b/>
      <w:bCs/>
    </w:rPr>
  </w:style>
  <w:style w:type="character" w:styleId="66">
    <w:name w:val="endnote reference"/>
    <w:semiHidden/>
    <w:unhideWhenUsed/>
    <w:qFormat/>
    <w:uiPriority w:val="99"/>
    <w:rPr>
      <w:vertAlign w:val="superscript"/>
    </w:rPr>
  </w:style>
  <w:style w:type="character" w:styleId="67">
    <w:name w:val="page number"/>
    <w:qFormat/>
    <w:uiPriority w:val="0"/>
  </w:style>
  <w:style w:type="character" w:styleId="68">
    <w:name w:val="Emphasis"/>
    <w:qFormat/>
    <w:uiPriority w:val="0"/>
    <w:rPr>
      <w:i/>
      <w:iCs/>
    </w:rPr>
  </w:style>
  <w:style w:type="character" w:styleId="69">
    <w:name w:val="line number"/>
    <w:qFormat/>
    <w:uiPriority w:val="0"/>
  </w:style>
  <w:style w:type="character" w:styleId="70">
    <w:name w:val="HTML Definition"/>
    <w:qFormat/>
    <w:uiPriority w:val="0"/>
    <w:rPr>
      <w:i/>
    </w:rPr>
  </w:style>
  <w:style w:type="character" w:styleId="71">
    <w:name w:val="Hyperlink"/>
    <w:qFormat/>
    <w:uiPriority w:val="99"/>
    <w:rPr>
      <w:color w:val="0000FF"/>
      <w:u w:val="single"/>
    </w:rPr>
  </w:style>
  <w:style w:type="character" w:styleId="72">
    <w:name w:val="HTML Code"/>
    <w:qFormat/>
    <w:uiPriority w:val="0"/>
    <w:rPr>
      <w:rFonts w:ascii="Bell MT" w:hAnsi="Bell MT" w:eastAsia="Bell MT" w:cs="Bell MT"/>
      <w:color w:val="C7254E"/>
      <w:sz w:val="21"/>
      <w:szCs w:val="21"/>
      <w:shd w:val="clear" w:color="auto" w:fill="F9F2F4"/>
    </w:rPr>
  </w:style>
  <w:style w:type="character" w:styleId="73">
    <w:name w:val="annotation reference"/>
    <w:qFormat/>
    <w:uiPriority w:val="0"/>
    <w:rPr>
      <w:sz w:val="21"/>
      <w:szCs w:val="21"/>
    </w:rPr>
  </w:style>
  <w:style w:type="character" w:styleId="74">
    <w:name w:val="HTML Cite"/>
    <w:qFormat/>
    <w:uiPriority w:val="0"/>
  </w:style>
  <w:style w:type="character" w:styleId="75">
    <w:name w:val="footnote reference"/>
    <w:unhideWhenUsed/>
    <w:qFormat/>
    <w:uiPriority w:val="0"/>
    <w:rPr>
      <w:vertAlign w:val="superscript"/>
    </w:rPr>
  </w:style>
  <w:style w:type="character" w:styleId="76">
    <w:name w:val="HTML Keyboard"/>
    <w:qFormat/>
    <w:uiPriority w:val="0"/>
    <w:rPr>
      <w:rFonts w:ascii="Bell MT" w:hAnsi="Bell MT" w:eastAsia="Bell MT" w:cs="Bell MT"/>
      <w:sz w:val="21"/>
      <w:szCs w:val="21"/>
    </w:rPr>
  </w:style>
  <w:style w:type="character" w:styleId="77">
    <w:name w:val="HTML Sample"/>
    <w:qFormat/>
    <w:uiPriority w:val="0"/>
    <w:rPr>
      <w:rFonts w:ascii="Bell MT" w:hAnsi="Bell MT" w:eastAsia="Bell MT" w:cs="Bell MT"/>
      <w:sz w:val="21"/>
      <w:szCs w:val="21"/>
    </w:rPr>
  </w:style>
  <w:style w:type="character" w:customStyle="1" w:styleId="78">
    <w:name w:val="标题 1 字符"/>
    <w:link w:val="4"/>
    <w:qFormat/>
    <w:uiPriority w:val="0"/>
    <w:rPr>
      <w:rFonts w:ascii="Times New Roman" w:hAnsi="Times New Roman" w:eastAsia="宋体" w:cs="Times New Roman"/>
      <w:b/>
      <w:bCs/>
      <w:sz w:val="44"/>
      <w:szCs w:val="44"/>
    </w:rPr>
  </w:style>
  <w:style w:type="table" w:customStyle="1" w:styleId="79">
    <w:name w:val="Plain Table 1"/>
    <w:basedOn w:val="6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basedOn w:val="6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6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basedOn w:val="6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basedOn w:val="6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basedOn w:val="6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2"/>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w:basedOn w:val="6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5 Dark"/>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6 Colorful"/>
    <w:basedOn w:val="6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Grid Table 7 Colorful"/>
    <w:basedOn w:val="6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List Table 1 Light"/>
    <w:basedOn w:val="6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2">
    <w:name w:val="List Table 2"/>
    <w:basedOn w:val="6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3">
    <w:name w:val="List Table 3"/>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4">
    <w:name w:val="List Table 4"/>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List Table 5 Dark"/>
    <w:basedOn w:val="6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6">
    <w:name w:val="List Table 6 Colorful"/>
    <w:basedOn w:val="6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7">
    <w:name w:val="List Table 7 Colorful"/>
    <w:basedOn w:val="6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8">
    <w:name w:val="TOC Heading"/>
    <w:unhideWhenUsed/>
    <w:qFormat/>
    <w:uiPriority w:val="39"/>
    <w:rPr>
      <w:rFonts w:hint="default" w:ascii="Calibri" w:hAnsi="Calibri" w:eastAsia="宋体" w:cs="Calibri"/>
    </w:rPr>
  </w:style>
  <w:style w:type="table" w:customStyle="1" w:styleId="99">
    <w:name w:val="无格式表格 11"/>
    <w:basedOn w:val="62"/>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0">
    <w:name w:val="无格式表格 21"/>
    <w:basedOn w:val="62"/>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1">
    <w:name w:val="无格式表格 31"/>
    <w:basedOn w:val="62"/>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41"/>
    <w:basedOn w:val="62"/>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51"/>
    <w:basedOn w:val="62"/>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网格表 1 浅色1"/>
    <w:basedOn w:val="62"/>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5">
    <w:name w:val="网格表 21"/>
    <w:basedOn w:val="62"/>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网格表 31"/>
    <w:basedOn w:val="62"/>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网格表 41"/>
    <w:basedOn w:val="62"/>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网格表 5 深色1"/>
    <w:basedOn w:val="6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网格表 6 彩色1"/>
    <w:basedOn w:val="62"/>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网格表 7 彩色1"/>
    <w:basedOn w:val="62"/>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清单表 1 浅色1"/>
    <w:basedOn w:val="62"/>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清单表 21"/>
    <w:basedOn w:val="62"/>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3">
    <w:name w:val="清单表 31"/>
    <w:basedOn w:val="62"/>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4">
    <w:name w:val="清单表 41"/>
    <w:basedOn w:val="62"/>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5">
    <w:name w:val="清单表 5 深色1"/>
    <w:basedOn w:val="62"/>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6">
    <w:name w:val="清单表 6 彩色1"/>
    <w:basedOn w:val="62"/>
    <w:qFormat/>
    <w:uiPriority w:val="99"/>
    <w:tblPr>
      <w:tblBorders>
        <w:top w:val="single" w:color="7F7F7F" w:sz="4" w:space="0"/>
        <w:bottom w:val="single" w:color="7F7F7F"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7">
    <w:name w:val="清单表 7 彩色1"/>
    <w:basedOn w:val="62"/>
    <w:qFormat/>
    <w:uiPriority w:val="99"/>
    <w:tblPr>
      <w:tblBorders>
        <w:right w:val="single" w:color="7F7F7F"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18">
    <w:name w:val="TOC 标题1"/>
    <w:unhideWhenUsed/>
    <w:qFormat/>
    <w:uiPriority w:val="39"/>
    <w:rPr>
      <w:rFonts w:hint="default" w:ascii="Times New Roman" w:hAnsi="Times New Roman" w:eastAsia="宋体" w:cs="Times New Roman"/>
    </w:rPr>
  </w:style>
  <w:style w:type="paragraph" w:customStyle="1" w:styleId="119">
    <w:name w:val="TOC 标题113"/>
    <w:unhideWhenUsed/>
    <w:qFormat/>
    <w:uiPriority w:val="39"/>
    <w:rPr>
      <w:rFonts w:hint="default" w:ascii="Times New Roman" w:hAnsi="Times New Roman" w:eastAsia="宋体" w:cs="Times New Roman"/>
    </w:rPr>
  </w:style>
  <w:style w:type="paragraph" w:customStyle="1" w:styleId="120">
    <w:name w:val="TOC 标题112"/>
    <w:unhideWhenUsed/>
    <w:qFormat/>
    <w:uiPriority w:val="39"/>
    <w:rPr>
      <w:rFonts w:hint="default" w:ascii="Times New Roman" w:hAnsi="Times New Roman" w:eastAsia="宋体" w:cs="Times New Roman"/>
    </w:rPr>
  </w:style>
  <w:style w:type="paragraph" w:customStyle="1" w:styleId="121">
    <w:name w:val="TOC 标题111"/>
    <w:unhideWhenUsed/>
    <w:qFormat/>
    <w:uiPriority w:val="39"/>
    <w:rPr>
      <w:rFonts w:hint="default" w:ascii="Times New Roman" w:hAnsi="Times New Roman" w:eastAsia="宋体" w:cs="Times New Roman"/>
    </w:rPr>
  </w:style>
  <w:style w:type="character" w:customStyle="1" w:styleId="122">
    <w:name w:val="Title Char"/>
    <w:basedOn w:val="64"/>
    <w:qFormat/>
    <w:uiPriority w:val="10"/>
    <w:rPr>
      <w:sz w:val="48"/>
      <w:szCs w:val="48"/>
    </w:rPr>
  </w:style>
  <w:style w:type="character" w:customStyle="1" w:styleId="123">
    <w:name w:val="Subtitle Char"/>
    <w:basedOn w:val="64"/>
    <w:qFormat/>
    <w:uiPriority w:val="11"/>
    <w:rPr>
      <w:sz w:val="24"/>
      <w:szCs w:val="24"/>
    </w:rPr>
  </w:style>
  <w:style w:type="character" w:customStyle="1" w:styleId="124">
    <w:name w:val="Quote Char"/>
    <w:qFormat/>
    <w:uiPriority w:val="29"/>
    <w:rPr>
      <w:i/>
    </w:rPr>
  </w:style>
  <w:style w:type="character" w:customStyle="1" w:styleId="125">
    <w:name w:val="Intense Quote Char"/>
    <w:qFormat/>
    <w:uiPriority w:val="30"/>
    <w:rPr>
      <w:i/>
    </w:rPr>
  </w:style>
  <w:style w:type="character" w:customStyle="1" w:styleId="126">
    <w:name w:val="Footnote Text Char"/>
    <w:qFormat/>
    <w:uiPriority w:val="99"/>
    <w:rPr>
      <w:sz w:val="18"/>
    </w:rPr>
  </w:style>
  <w:style w:type="character" w:customStyle="1" w:styleId="127">
    <w:name w:val="Endnote Text Char"/>
    <w:qFormat/>
    <w:uiPriority w:val="99"/>
    <w:rPr>
      <w:sz w:val="20"/>
    </w:rPr>
  </w:style>
  <w:style w:type="character" w:customStyle="1" w:styleId="128">
    <w:name w:val="Heading 1 Char"/>
    <w:link w:val="129"/>
    <w:qFormat/>
    <w:uiPriority w:val="9"/>
    <w:rPr>
      <w:rFonts w:ascii="Arial" w:hAnsi="Arial" w:eastAsia="Arial" w:cs="Arial"/>
      <w:sz w:val="40"/>
      <w:szCs w:val="40"/>
    </w:rPr>
  </w:style>
  <w:style w:type="paragraph" w:customStyle="1" w:styleId="129">
    <w:name w:val="标题 11"/>
    <w:basedOn w:val="1"/>
    <w:next w:val="1"/>
    <w:link w:val="128"/>
    <w:qFormat/>
    <w:uiPriority w:val="0"/>
    <w:pPr>
      <w:keepNext/>
      <w:keepLines/>
      <w:spacing w:before="480" w:after="200"/>
      <w:outlineLvl w:val="0"/>
    </w:pPr>
    <w:rPr>
      <w:rFonts w:ascii="Arial" w:hAnsi="Arial" w:eastAsia="Arial" w:cs="Arial"/>
      <w:sz w:val="40"/>
      <w:szCs w:val="40"/>
    </w:rPr>
  </w:style>
  <w:style w:type="character" w:customStyle="1" w:styleId="130">
    <w:name w:val="Heading 2 Char"/>
    <w:link w:val="131"/>
    <w:qFormat/>
    <w:uiPriority w:val="9"/>
    <w:rPr>
      <w:rFonts w:ascii="Arial" w:hAnsi="Arial" w:eastAsia="Arial" w:cs="Arial"/>
      <w:sz w:val="34"/>
    </w:rPr>
  </w:style>
  <w:style w:type="paragraph" w:customStyle="1" w:styleId="131">
    <w:name w:val="标题 21"/>
    <w:basedOn w:val="1"/>
    <w:next w:val="1"/>
    <w:link w:val="130"/>
    <w:unhideWhenUsed/>
    <w:qFormat/>
    <w:uiPriority w:val="0"/>
    <w:pPr>
      <w:keepNext/>
      <w:keepLines/>
      <w:spacing w:before="360" w:after="200"/>
      <w:outlineLvl w:val="1"/>
    </w:pPr>
    <w:rPr>
      <w:rFonts w:ascii="Arial" w:hAnsi="Arial" w:eastAsia="Arial" w:cs="Arial"/>
      <w:sz w:val="34"/>
      <w:szCs w:val="20"/>
    </w:rPr>
  </w:style>
  <w:style w:type="character" w:customStyle="1" w:styleId="132">
    <w:name w:val="Heading 3 Char"/>
    <w:link w:val="133"/>
    <w:qFormat/>
    <w:uiPriority w:val="9"/>
    <w:rPr>
      <w:rFonts w:ascii="Arial" w:hAnsi="Arial" w:eastAsia="Arial" w:cs="Arial"/>
      <w:sz w:val="30"/>
      <w:szCs w:val="30"/>
    </w:rPr>
  </w:style>
  <w:style w:type="paragraph" w:customStyle="1" w:styleId="133">
    <w:name w:val="标题 31"/>
    <w:basedOn w:val="1"/>
    <w:next w:val="1"/>
    <w:link w:val="132"/>
    <w:unhideWhenUsed/>
    <w:qFormat/>
    <w:uiPriority w:val="99"/>
    <w:pPr>
      <w:keepNext/>
      <w:keepLines/>
      <w:spacing w:before="320" w:after="200"/>
      <w:outlineLvl w:val="2"/>
    </w:pPr>
    <w:rPr>
      <w:rFonts w:ascii="Arial" w:hAnsi="Arial" w:eastAsia="Arial" w:cs="Arial"/>
      <w:sz w:val="30"/>
      <w:szCs w:val="30"/>
    </w:rPr>
  </w:style>
  <w:style w:type="character" w:customStyle="1" w:styleId="134">
    <w:name w:val="Heading 4 Char"/>
    <w:link w:val="135"/>
    <w:qFormat/>
    <w:uiPriority w:val="9"/>
    <w:rPr>
      <w:rFonts w:ascii="Arial" w:hAnsi="Arial" w:eastAsia="Arial" w:cs="Arial"/>
      <w:b/>
      <w:bCs/>
      <w:sz w:val="26"/>
      <w:szCs w:val="26"/>
    </w:rPr>
  </w:style>
  <w:style w:type="paragraph" w:customStyle="1" w:styleId="135">
    <w:name w:val="标题 41"/>
    <w:basedOn w:val="1"/>
    <w:next w:val="1"/>
    <w:link w:val="134"/>
    <w:unhideWhenUsed/>
    <w:qFormat/>
    <w:uiPriority w:val="0"/>
    <w:pPr>
      <w:keepNext/>
      <w:keepLines/>
      <w:spacing w:before="320" w:after="200"/>
      <w:outlineLvl w:val="3"/>
    </w:pPr>
    <w:rPr>
      <w:rFonts w:ascii="Arial" w:hAnsi="Arial" w:eastAsia="Arial" w:cs="Arial"/>
      <w:b/>
      <w:bCs/>
      <w:sz w:val="26"/>
      <w:szCs w:val="26"/>
    </w:rPr>
  </w:style>
  <w:style w:type="character" w:customStyle="1" w:styleId="136">
    <w:name w:val="Heading 5 Char"/>
    <w:link w:val="137"/>
    <w:qFormat/>
    <w:uiPriority w:val="9"/>
    <w:rPr>
      <w:rFonts w:ascii="Arial" w:hAnsi="Arial" w:eastAsia="Arial" w:cs="Arial"/>
      <w:b/>
      <w:bCs/>
      <w:sz w:val="24"/>
      <w:szCs w:val="24"/>
    </w:rPr>
  </w:style>
  <w:style w:type="paragraph" w:customStyle="1" w:styleId="137">
    <w:name w:val="标题 51"/>
    <w:basedOn w:val="1"/>
    <w:next w:val="1"/>
    <w:link w:val="136"/>
    <w:unhideWhenUsed/>
    <w:qFormat/>
    <w:uiPriority w:val="0"/>
    <w:pPr>
      <w:keepNext/>
      <w:keepLines/>
      <w:spacing w:before="320" w:after="200"/>
      <w:outlineLvl w:val="4"/>
    </w:pPr>
    <w:rPr>
      <w:rFonts w:ascii="Arial" w:hAnsi="Arial" w:eastAsia="Arial" w:cs="Arial"/>
      <w:b/>
      <w:bCs/>
      <w:sz w:val="24"/>
    </w:rPr>
  </w:style>
  <w:style w:type="character" w:customStyle="1" w:styleId="138">
    <w:name w:val="Heading 6 Char"/>
    <w:link w:val="139"/>
    <w:qFormat/>
    <w:uiPriority w:val="9"/>
    <w:rPr>
      <w:rFonts w:ascii="Arial" w:hAnsi="Arial" w:eastAsia="Arial" w:cs="Arial"/>
      <w:b/>
      <w:bCs/>
      <w:sz w:val="22"/>
      <w:szCs w:val="22"/>
    </w:rPr>
  </w:style>
  <w:style w:type="paragraph" w:customStyle="1" w:styleId="139">
    <w:name w:val="标题 61"/>
    <w:basedOn w:val="1"/>
    <w:next w:val="1"/>
    <w:link w:val="138"/>
    <w:unhideWhenUsed/>
    <w:qFormat/>
    <w:uiPriority w:val="0"/>
    <w:pPr>
      <w:keepNext/>
      <w:keepLines/>
      <w:spacing w:before="320" w:after="200"/>
      <w:outlineLvl w:val="5"/>
    </w:pPr>
    <w:rPr>
      <w:rFonts w:ascii="Arial" w:hAnsi="Arial" w:eastAsia="Arial" w:cs="Arial"/>
      <w:b/>
      <w:bCs/>
      <w:sz w:val="22"/>
      <w:szCs w:val="22"/>
    </w:rPr>
  </w:style>
  <w:style w:type="character" w:customStyle="1" w:styleId="140">
    <w:name w:val="Heading 7 Char"/>
    <w:link w:val="141"/>
    <w:qFormat/>
    <w:uiPriority w:val="9"/>
    <w:rPr>
      <w:rFonts w:ascii="Arial" w:hAnsi="Arial" w:eastAsia="Arial" w:cs="Arial"/>
      <w:b/>
      <w:bCs/>
      <w:i/>
      <w:iCs/>
      <w:sz w:val="22"/>
      <w:szCs w:val="22"/>
    </w:rPr>
  </w:style>
  <w:style w:type="paragraph" w:customStyle="1" w:styleId="141">
    <w:name w:val="标题 71"/>
    <w:basedOn w:val="1"/>
    <w:next w:val="1"/>
    <w:link w:val="140"/>
    <w:unhideWhenUsed/>
    <w:qFormat/>
    <w:uiPriority w:val="0"/>
    <w:pPr>
      <w:keepNext/>
      <w:keepLines/>
      <w:spacing w:before="320" w:after="200"/>
      <w:outlineLvl w:val="6"/>
    </w:pPr>
    <w:rPr>
      <w:rFonts w:ascii="Arial" w:hAnsi="Arial" w:eastAsia="Arial" w:cs="Arial"/>
      <w:b/>
      <w:bCs/>
      <w:i/>
      <w:iCs/>
      <w:sz w:val="22"/>
      <w:szCs w:val="22"/>
    </w:rPr>
  </w:style>
  <w:style w:type="character" w:customStyle="1" w:styleId="142">
    <w:name w:val="Heading 8 Char"/>
    <w:link w:val="143"/>
    <w:qFormat/>
    <w:uiPriority w:val="9"/>
    <w:rPr>
      <w:rFonts w:ascii="Arial" w:hAnsi="Arial" w:eastAsia="Arial" w:cs="Arial"/>
      <w:i/>
      <w:iCs/>
      <w:sz w:val="22"/>
      <w:szCs w:val="22"/>
    </w:rPr>
  </w:style>
  <w:style w:type="paragraph" w:customStyle="1" w:styleId="143">
    <w:name w:val="标题 81"/>
    <w:basedOn w:val="1"/>
    <w:next w:val="1"/>
    <w:link w:val="142"/>
    <w:unhideWhenUsed/>
    <w:qFormat/>
    <w:uiPriority w:val="0"/>
    <w:pPr>
      <w:keepNext/>
      <w:keepLines/>
      <w:spacing w:before="320" w:after="200"/>
      <w:outlineLvl w:val="7"/>
    </w:pPr>
    <w:rPr>
      <w:rFonts w:ascii="Arial" w:hAnsi="Arial" w:eastAsia="Arial" w:cs="Arial"/>
      <w:i/>
      <w:iCs/>
      <w:sz w:val="22"/>
      <w:szCs w:val="22"/>
    </w:rPr>
  </w:style>
  <w:style w:type="character" w:customStyle="1" w:styleId="144">
    <w:name w:val="Heading 9 Char"/>
    <w:link w:val="145"/>
    <w:qFormat/>
    <w:uiPriority w:val="9"/>
    <w:rPr>
      <w:rFonts w:ascii="Arial" w:hAnsi="Arial" w:eastAsia="Arial" w:cs="Arial"/>
      <w:i/>
      <w:iCs/>
      <w:sz w:val="21"/>
      <w:szCs w:val="21"/>
    </w:rPr>
  </w:style>
  <w:style w:type="paragraph" w:customStyle="1" w:styleId="145">
    <w:name w:val="标题 91"/>
    <w:basedOn w:val="1"/>
    <w:next w:val="1"/>
    <w:link w:val="144"/>
    <w:unhideWhenUsed/>
    <w:qFormat/>
    <w:uiPriority w:val="0"/>
    <w:pPr>
      <w:keepNext/>
      <w:keepLines/>
      <w:spacing w:before="320" w:after="200"/>
      <w:outlineLvl w:val="8"/>
    </w:pPr>
    <w:rPr>
      <w:rFonts w:ascii="Arial" w:hAnsi="Arial" w:eastAsia="Arial" w:cs="Arial"/>
      <w:i/>
      <w:iCs/>
      <w:szCs w:val="21"/>
    </w:rPr>
  </w:style>
  <w:style w:type="paragraph" w:styleId="146">
    <w:name w:val="List Paragraph"/>
    <w:basedOn w:val="1"/>
    <w:link w:val="294"/>
    <w:qFormat/>
    <w:uiPriority w:val="34"/>
    <w:pPr>
      <w:ind w:firstLine="420"/>
    </w:pPr>
    <w:rPr>
      <w:sz w:val="20"/>
      <w:szCs w:val="20"/>
    </w:rPr>
  </w:style>
  <w:style w:type="paragraph" w:styleId="147">
    <w:name w:val="No Spacing"/>
    <w:qFormat/>
    <w:uiPriority w:val="99"/>
    <w:rPr>
      <w:rFonts w:hint="default" w:ascii="Times New Roman" w:hAnsi="Times New Roman" w:eastAsia="宋体" w:cs="Times New Roman"/>
    </w:rPr>
  </w:style>
  <w:style w:type="character" w:customStyle="1" w:styleId="148">
    <w:name w:val="标题 字符"/>
    <w:link w:val="59"/>
    <w:qFormat/>
    <w:uiPriority w:val="10"/>
    <w:rPr>
      <w:sz w:val="48"/>
      <w:szCs w:val="48"/>
    </w:rPr>
  </w:style>
  <w:style w:type="character" w:customStyle="1" w:styleId="149">
    <w:name w:val="副标题 字符"/>
    <w:link w:val="45"/>
    <w:qFormat/>
    <w:uiPriority w:val="11"/>
    <w:rPr>
      <w:sz w:val="24"/>
      <w:szCs w:val="24"/>
    </w:rPr>
  </w:style>
  <w:style w:type="paragraph" w:styleId="150">
    <w:name w:val="Quote"/>
    <w:basedOn w:val="1"/>
    <w:next w:val="1"/>
    <w:link w:val="151"/>
    <w:qFormat/>
    <w:uiPriority w:val="29"/>
    <w:pPr>
      <w:ind w:left="720" w:right="720"/>
    </w:pPr>
    <w:rPr>
      <w:i/>
    </w:rPr>
  </w:style>
  <w:style w:type="character" w:customStyle="1" w:styleId="151">
    <w:name w:val="引用 字符"/>
    <w:link w:val="150"/>
    <w:qFormat/>
    <w:uiPriority w:val="29"/>
    <w:rPr>
      <w:i/>
    </w:rPr>
  </w:style>
  <w:style w:type="paragraph" w:styleId="152">
    <w:name w:val="Intense Quote"/>
    <w:basedOn w:val="1"/>
    <w:next w:val="1"/>
    <w:link w:val="1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3">
    <w:name w:val="明显引用 字符"/>
    <w:link w:val="152"/>
    <w:qFormat/>
    <w:uiPriority w:val="30"/>
    <w:rPr>
      <w:i/>
    </w:rPr>
  </w:style>
  <w:style w:type="character" w:customStyle="1" w:styleId="154">
    <w:name w:val="Header Char"/>
    <w:link w:val="155"/>
    <w:qFormat/>
    <w:uiPriority w:val="0"/>
  </w:style>
  <w:style w:type="paragraph" w:customStyle="1" w:styleId="155">
    <w:name w:val="页眉1"/>
    <w:basedOn w:val="1"/>
    <w:link w:val="154"/>
    <w:unhideWhenUsed/>
    <w:qFormat/>
    <w:uiPriority w:val="99"/>
    <w:pPr>
      <w:tabs>
        <w:tab w:val="center" w:pos="7143"/>
        <w:tab w:val="right" w:pos="14287"/>
      </w:tabs>
    </w:pPr>
    <w:rPr>
      <w:sz w:val="20"/>
      <w:szCs w:val="20"/>
    </w:rPr>
  </w:style>
  <w:style w:type="character" w:customStyle="1" w:styleId="156">
    <w:name w:val="Footer Char"/>
    <w:qFormat/>
    <w:uiPriority w:val="99"/>
  </w:style>
  <w:style w:type="character" w:customStyle="1" w:styleId="157">
    <w:name w:val="Caption Char"/>
    <w:link w:val="158"/>
    <w:qFormat/>
    <w:uiPriority w:val="99"/>
  </w:style>
  <w:style w:type="paragraph" w:customStyle="1" w:styleId="158">
    <w:name w:val="页脚1"/>
    <w:basedOn w:val="1"/>
    <w:link w:val="157"/>
    <w:unhideWhenUsed/>
    <w:qFormat/>
    <w:uiPriority w:val="99"/>
    <w:pPr>
      <w:tabs>
        <w:tab w:val="center" w:pos="7143"/>
        <w:tab w:val="right" w:pos="14287"/>
      </w:tabs>
    </w:pPr>
    <w:rPr>
      <w:sz w:val="20"/>
      <w:szCs w:val="20"/>
    </w:rPr>
  </w:style>
  <w:style w:type="table" w:customStyle="1" w:styleId="15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6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6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6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6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6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6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6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6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7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7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8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8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8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8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8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9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9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9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9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9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9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9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9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9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9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0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20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202">
    <w:name w:val="List Table 1 Light - Accent 1"/>
    <w:qFormat/>
    <w:uiPriority w:val="99"/>
    <w:tblPr>
      <w:tblCellMar>
        <w:top w:w="0" w:type="dxa"/>
        <w:left w:w="0" w:type="dxa"/>
        <w:bottom w:w="0" w:type="dxa"/>
        <w:right w:w="0" w:type="dxa"/>
      </w:tblCellMar>
    </w:tblPr>
  </w:style>
  <w:style w:type="table" w:customStyle="1" w:styleId="203">
    <w:name w:val="List Table 1 Light - Accent 2"/>
    <w:qFormat/>
    <w:uiPriority w:val="99"/>
    <w:tblPr>
      <w:tblCellMar>
        <w:top w:w="0" w:type="dxa"/>
        <w:left w:w="0" w:type="dxa"/>
        <w:bottom w:w="0" w:type="dxa"/>
        <w:right w:w="0" w:type="dxa"/>
      </w:tblCellMar>
    </w:tblPr>
  </w:style>
  <w:style w:type="table" w:customStyle="1" w:styleId="204">
    <w:name w:val="List Table 1 Light - Accent 3"/>
    <w:qFormat/>
    <w:uiPriority w:val="99"/>
    <w:tblPr>
      <w:tblCellMar>
        <w:top w:w="0" w:type="dxa"/>
        <w:left w:w="0" w:type="dxa"/>
        <w:bottom w:w="0" w:type="dxa"/>
        <w:right w:w="0" w:type="dxa"/>
      </w:tblCellMar>
    </w:tblPr>
  </w:style>
  <w:style w:type="table" w:customStyle="1" w:styleId="205">
    <w:name w:val="List Table 1 Light - Accent 4"/>
    <w:qFormat/>
    <w:uiPriority w:val="99"/>
    <w:tblPr>
      <w:tblCellMar>
        <w:top w:w="0" w:type="dxa"/>
        <w:left w:w="0" w:type="dxa"/>
        <w:bottom w:w="0" w:type="dxa"/>
        <w:right w:w="0" w:type="dxa"/>
      </w:tblCellMar>
    </w:tblPr>
  </w:style>
  <w:style w:type="table" w:customStyle="1" w:styleId="206">
    <w:name w:val="List Table 1 Light - Accent 5"/>
    <w:qFormat/>
    <w:uiPriority w:val="99"/>
    <w:tblPr>
      <w:tblCellMar>
        <w:top w:w="0" w:type="dxa"/>
        <w:left w:w="0" w:type="dxa"/>
        <w:bottom w:w="0" w:type="dxa"/>
        <w:right w:w="0" w:type="dxa"/>
      </w:tblCellMar>
    </w:tblPr>
  </w:style>
  <w:style w:type="table" w:customStyle="1" w:styleId="207">
    <w:name w:val="List Table 1 Light - Accent 6"/>
    <w:qFormat/>
    <w:uiPriority w:val="99"/>
    <w:tblPr>
      <w:tblCellMar>
        <w:top w:w="0" w:type="dxa"/>
        <w:left w:w="0" w:type="dxa"/>
        <w:bottom w:w="0" w:type="dxa"/>
        <w:right w:w="0" w:type="dxa"/>
      </w:tblCellMar>
    </w:tblPr>
  </w:style>
  <w:style w:type="table" w:customStyle="1" w:styleId="20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209">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21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21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1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1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21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21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1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1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1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1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2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2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2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2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2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2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2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2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2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2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3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3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3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3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34">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3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3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3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3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3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4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4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4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4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44">
    <w:name w:val="Lined - Accent"/>
    <w:qFormat/>
    <w:uiPriority w:val="99"/>
    <w:rPr>
      <w:color w:val="404040"/>
    </w:rPr>
    <w:tblPr>
      <w:tblCellMar>
        <w:top w:w="0" w:type="dxa"/>
        <w:left w:w="0" w:type="dxa"/>
        <w:bottom w:w="0" w:type="dxa"/>
        <w:right w:w="0" w:type="dxa"/>
      </w:tblCellMar>
    </w:tblPr>
  </w:style>
  <w:style w:type="table" w:customStyle="1" w:styleId="245">
    <w:name w:val="Lined - Accent 1"/>
    <w:qFormat/>
    <w:uiPriority w:val="99"/>
    <w:rPr>
      <w:color w:val="404040"/>
    </w:rPr>
    <w:tblPr>
      <w:tblCellMar>
        <w:top w:w="0" w:type="dxa"/>
        <w:left w:w="0" w:type="dxa"/>
        <w:bottom w:w="0" w:type="dxa"/>
        <w:right w:w="0" w:type="dxa"/>
      </w:tblCellMar>
    </w:tblPr>
  </w:style>
  <w:style w:type="table" w:customStyle="1" w:styleId="246">
    <w:name w:val="Lined - Accent 2"/>
    <w:qFormat/>
    <w:uiPriority w:val="99"/>
    <w:rPr>
      <w:color w:val="404040"/>
    </w:rPr>
    <w:tblPr>
      <w:tblCellMar>
        <w:top w:w="0" w:type="dxa"/>
        <w:left w:w="0" w:type="dxa"/>
        <w:bottom w:w="0" w:type="dxa"/>
        <w:right w:w="0" w:type="dxa"/>
      </w:tblCellMar>
    </w:tblPr>
  </w:style>
  <w:style w:type="table" w:customStyle="1" w:styleId="247">
    <w:name w:val="Lined - Accent 3"/>
    <w:qFormat/>
    <w:uiPriority w:val="99"/>
    <w:rPr>
      <w:color w:val="404040"/>
    </w:rPr>
    <w:tblPr>
      <w:tblCellMar>
        <w:top w:w="0" w:type="dxa"/>
        <w:left w:w="0" w:type="dxa"/>
        <w:bottom w:w="0" w:type="dxa"/>
        <w:right w:w="0" w:type="dxa"/>
      </w:tblCellMar>
    </w:tblPr>
  </w:style>
  <w:style w:type="table" w:customStyle="1" w:styleId="248">
    <w:name w:val="Lined - Accent 4"/>
    <w:qFormat/>
    <w:uiPriority w:val="99"/>
    <w:rPr>
      <w:color w:val="404040"/>
    </w:rPr>
    <w:tblPr>
      <w:tblCellMar>
        <w:top w:w="0" w:type="dxa"/>
        <w:left w:w="0" w:type="dxa"/>
        <w:bottom w:w="0" w:type="dxa"/>
        <w:right w:w="0" w:type="dxa"/>
      </w:tblCellMar>
    </w:tblPr>
  </w:style>
  <w:style w:type="table" w:customStyle="1" w:styleId="249">
    <w:name w:val="Lined - Accent 5"/>
    <w:qFormat/>
    <w:uiPriority w:val="99"/>
    <w:rPr>
      <w:color w:val="404040"/>
    </w:rPr>
    <w:tblPr>
      <w:tblCellMar>
        <w:top w:w="0" w:type="dxa"/>
        <w:left w:w="0" w:type="dxa"/>
        <w:bottom w:w="0" w:type="dxa"/>
        <w:right w:w="0" w:type="dxa"/>
      </w:tblCellMar>
    </w:tblPr>
  </w:style>
  <w:style w:type="table" w:customStyle="1" w:styleId="250">
    <w:name w:val="Lined - Accent 6"/>
    <w:qFormat/>
    <w:uiPriority w:val="99"/>
    <w:rPr>
      <w:color w:val="404040"/>
    </w:rPr>
    <w:tblPr>
      <w:tblCellMar>
        <w:top w:w="0" w:type="dxa"/>
        <w:left w:w="0" w:type="dxa"/>
        <w:bottom w:w="0" w:type="dxa"/>
        <w:right w:w="0" w:type="dxa"/>
      </w:tblCellMar>
    </w:tblPr>
  </w:style>
  <w:style w:type="table" w:customStyle="1" w:styleId="25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52">
    <w:name w:val="Bordered &amp; Lined - Accent 1"/>
    <w:qFormat/>
    <w:uiPriority w:val="99"/>
    <w:rPr>
      <w:color w:val="404040"/>
    </w:rPr>
    <w:tblPr>
      <w:tblCellMar>
        <w:top w:w="0" w:type="dxa"/>
        <w:left w:w="0" w:type="dxa"/>
        <w:bottom w:w="0" w:type="dxa"/>
        <w:right w:w="0" w:type="dxa"/>
      </w:tblCellMar>
    </w:tblPr>
  </w:style>
  <w:style w:type="table" w:customStyle="1" w:styleId="25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5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5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5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5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5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5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6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6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6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6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6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65">
    <w:name w:val="脚注文本 字符"/>
    <w:link w:val="47"/>
    <w:qFormat/>
    <w:uiPriority w:val="0"/>
    <w:rPr>
      <w:sz w:val="18"/>
    </w:rPr>
  </w:style>
  <w:style w:type="character" w:customStyle="1" w:styleId="266">
    <w:name w:val="尾注文本 字符"/>
    <w:link w:val="36"/>
    <w:qFormat/>
    <w:uiPriority w:val="99"/>
    <w:rPr>
      <w:sz w:val="20"/>
    </w:rPr>
  </w:style>
  <w:style w:type="paragraph" w:customStyle="1" w:styleId="267">
    <w:name w:val="TOC 标题11"/>
    <w:unhideWhenUsed/>
    <w:qFormat/>
    <w:uiPriority w:val="39"/>
    <w:rPr>
      <w:rFonts w:hint="default" w:ascii="Times New Roman" w:hAnsi="Times New Roman" w:eastAsia="宋体" w:cs="Times New Roman"/>
    </w:rPr>
  </w:style>
  <w:style w:type="character" w:customStyle="1" w:styleId="268">
    <w:name w:val="标题 2 字符"/>
    <w:link w:val="5"/>
    <w:qFormat/>
    <w:uiPriority w:val="0"/>
    <w:rPr>
      <w:rFonts w:ascii="Arial" w:hAnsi="Arial" w:eastAsia="黑体" w:cs="Times New Roman"/>
      <w:b/>
      <w:bCs/>
      <w:sz w:val="32"/>
      <w:szCs w:val="32"/>
    </w:rPr>
  </w:style>
  <w:style w:type="character" w:customStyle="1" w:styleId="269">
    <w:name w:val="标题 3 字符"/>
    <w:link w:val="6"/>
    <w:qFormat/>
    <w:uiPriority w:val="99"/>
    <w:rPr>
      <w:rFonts w:ascii="Times New Roman" w:hAnsi="Times New Roman" w:eastAsia="宋体" w:cs="Times New Roman"/>
      <w:b/>
      <w:bCs/>
      <w:sz w:val="32"/>
      <w:szCs w:val="32"/>
    </w:rPr>
  </w:style>
  <w:style w:type="character" w:customStyle="1" w:styleId="270">
    <w:name w:val="标题 4 字符"/>
    <w:link w:val="7"/>
    <w:qFormat/>
    <w:uiPriority w:val="0"/>
    <w:rPr>
      <w:rFonts w:ascii="Times New Roman" w:hAnsi="Times New Roman" w:eastAsia="新宋体" w:cs="Times New Roman"/>
      <w:sz w:val="30"/>
      <w:szCs w:val="21"/>
    </w:rPr>
  </w:style>
  <w:style w:type="character" w:customStyle="1" w:styleId="271">
    <w:name w:val="标题 5 字符"/>
    <w:link w:val="8"/>
    <w:qFormat/>
    <w:uiPriority w:val="0"/>
    <w:rPr>
      <w:rFonts w:ascii="Times New Roman" w:hAnsi="Times New Roman" w:eastAsia="宋体" w:cs="Times New Roman"/>
      <w:b/>
      <w:bCs/>
      <w:sz w:val="28"/>
      <w:szCs w:val="28"/>
    </w:rPr>
  </w:style>
  <w:style w:type="character" w:customStyle="1" w:styleId="272">
    <w:name w:val="标题 6 字符"/>
    <w:link w:val="9"/>
    <w:qFormat/>
    <w:uiPriority w:val="0"/>
    <w:rPr>
      <w:rFonts w:ascii="Times New Roman" w:hAnsi="Times New Roman" w:eastAsia="宋体" w:cs="Times New Roman"/>
      <w:b/>
      <w:sz w:val="44"/>
      <w:szCs w:val="20"/>
    </w:rPr>
  </w:style>
  <w:style w:type="character" w:customStyle="1" w:styleId="273">
    <w:name w:val="正文缩进 字符"/>
    <w:link w:val="10"/>
    <w:qFormat/>
    <w:uiPriority w:val="0"/>
    <w:rPr>
      <w:rFonts w:ascii="Times New Roman" w:hAnsi="Times New Roman" w:eastAsia="宋体" w:cs="Times New Roman"/>
      <w:sz w:val="20"/>
      <w:szCs w:val="20"/>
    </w:rPr>
  </w:style>
  <w:style w:type="character" w:customStyle="1" w:styleId="274">
    <w:name w:val="标题 7 字符"/>
    <w:link w:val="11"/>
    <w:qFormat/>
    <w:uiPriority w:val="0"/>
    <w:rPr>
      <w:rFonts w:ascii="Times New Roman" w:hAnsi="Times New Roman" w:eastAsia="宋体" w:cs="Times New Roman"/>
      <w:b/>
      <w:bCs/>
      <w:sz w:val="24"/>
      <w:szCs w:val="24"/>
    </w:rPr>
  </w:style>
  <w:style w:type="character" w:customStyle="1" w:styleId="275">
    <w:name w:val="标题 8 字符"/>
    <w:link w:val="12"/>
    <w:qFormat/>
    <w:uiPriority w:val="0"/>
    <w:rPr>
      <w:rFonts w:ascii="Arial" w:hAnsi="Arial" w:eastAsia="黑体" w:cs="Times New Roman"/>
      <w:sz w:val="24"/>
      <w:szCs w:val="24"/>
    </w:rPr>
  </w:style>
  <w:style w:type="character" w:customStyle="1" w:styleId="276">
    <w:name w:val="标题 9 字符"/>
    <w:link w:val="13"/>
    <w:qFormat/>
    <w:uiPriority w:val="0"/>
    <w:rPr>
      <w:rFonts w:ascii="Arial" w:hAnsi="Arial" w:eastAsia="黑体" w:cs="Times New Roman"/>
      <w:sz w:val="24"/>
      <w:szCs w:val="21"/>
    </w:rPr>
  </w:style>
  <w:style w:type="character" w:customStyle="1" w:styleId="277">
    <w:name w:val="文档结构图 字符"/>
    <w:link w:val="19"/>
    <w:qFormat/>
    <w:uiPriority w:val="0"/>
    <w:rPr>
      <w:szCs w:val="24"/>
      <w:shd w:val="clear" w:color="auto" w:fill="000080"/>
    </w:rPr>
  </w:style>
  <w:style w:type="character" w:customStyle="1" w:styleId="278">
    <w:name w:val="正文文本 3 字符"/>
    <w:link w:val="23"/>
    <w:qFormat/>
    <w:uiPriority w:val="0"/>
    <w:rPr>
      <w:rFonts w:ascii="Times New Roman" w:hAnsi="Times New Roman" w:eastAsia="宋体" w:cs="Times New Roman"/>
      <w:sz w:val="16"/>
      <w:szCs w:val="16"/>
    </w:rPr>
  </w:style>
  <w:style w:type="character" w:customStyle="1" w:styleId="279">
    <w:name w:val="正文文本 字符"/>
    <w:link w:val="3"/>
    <w:qFormat/>
    <w:uiPriority w:val="0"/>
    <w:rPr>
      <w:rFonts w:ascii="仿宋_GB2312" w:hAnsi="Times New Roman" w:eastAsia="仿宋_GB2312" w:cs="Times New Roman"/>
      <w:sz w:val="24"/>
      <w:szCs w:val="20"/>
    </w:rPr>
  </w:style>
  <w:style w:type="character" w:customStyle="1" w:styleId="280">
    <w:name w:val="正文文本缩进 字符"/>
    <w:link w:val="24"/>
    <w:qFormat/>
    <w:uiPriority w:val="0"/>
    <w:rPr>
      <w:rFonts w:ascii="仿宋_GB2312" w:hAnsi="Times New Roman" w:eastAsia="仿宋_GB2312" w:cs="Times New Roman"/>
      <w:sz w:val="28"/>
      <w:szCs w:val="20"/>
    </w:rPr>
  </w:style>
  <w:style w:type="character" w:customStyle="1" w:styleId="281">
    <w:name w:val="纯文本 字符"/>
    <w:link w:val="31"/>
    <w:qFormat/>
    <w:uiPriority w:val="0"/>
    <w:rPr>
      <w:rFonts w:ascii="宋体" w:hAnsi="Courier New" w:eastAsia="宋体" w:cs="Courier New"/>
      <w:szCs w:val="21"/>
    </w:rPr>
  </w:style>
  <w:style w:type="character" w:customStyle="1" w:styleId="282">
    <w:name w:val="日期 字符"/>
    <w:link w:val="34"/>
    <w:qFormat/>
    <w:uiPriority w:val="0"/>
    <w:rPr>
      <w:rFonts w:ascii="Times New Roman" w:hAnsi="Times New Roman" w:eastAsia="宋体" w:cs="Times New Roman"/>
      <w:sz w:val="24"/>
      <w:szCs w:val="20"/>
    </w:rPr>
  </w:style>
  <w:style w:type="character" w:customStyle="1" w:styleId="283">
    <w:name w:val="正文文本缩进 2 字符"/>
    <w:link w:val="35"/>
    <w:qFormat/>
    <w:uiPriority w:val="0"/>
    <w:rPr>
      <w:rFonts w:ascii="Times New Roman" w:hAnsi="Times New Roman" w:eastAsia="仿宋_GB2312" w:cs="Times New Roman"/>
      <w:sz w:val="28"/>
      <w:szCs w:val="20"/>
    </w:rPr>
  </w:style>
  <w:style w:type="character" w:customStyle="1" w:styleId="284">
    <w:name w:val="批注框文本 字符"/>
    <w:link w:val="37"/>
    <w:qFormat/>
    <w:uiPriority w:val="0"/>
    <w:rPr>
      <w:sz w:val="18"/>
      <w:szCs w:val="18"/>
    </w:rPr>
  </w:style>
  <w:style w:type="character" w:customStyle="1" w:styleId="285">
    <w:name w:val="页脚 字符"/>
    <w:link w:val="38"/>
    <w:qFormat/>
    <w:uiPriority w:val="99"/>
    <w:rPr>
      <w:rFonts w:ascii="Times New Roman" w:hAnsi="Times New Roman" w:eastAsia="宋体" w:cs="Times New Roman"/>
      <w:sz w:val="18"/>
      <w:szCs w:val="20"/>
    </w:rPr>
  </w:style>
  <w:style w:type="character" w:customStyle="1" w:styleId="286">
    <w:name w:val="页眉 字符"/>
    <w:link w:val="39"/>
    <w:qFormat/>
    <w:uiPriority w:val="99"/>
    <w:rPr>
      <w:rFonts w:ascii="Times New Roman" w:hAnsi="Times New Roman" w:eastAsia="宋体" w:cs="Times New Roman"/>
      <w:sz w:val="18"/>
      <w:szCs w:val="18"/>
    </w:rPr>
  </w:style>
  <w:style w:type="paragraph" w:customStyle="1" w:styleId="287">
    <w:name w:val="目录 11"/>
    <w:basedOn w:val="1"/>
    <w:next w:val="1"/>
    <w:qFormat/>
    <w:uiPriority w:val="0"/>
    <w:rPr>
      <w:sz w:val="24"/>
    </w:rPr>
  </w:style>
  <w:style w:type="character" w:customStyle="1" w:styleId="288">
    <w:name w:val="正文文本缩进 3 字符"/>
    <w:link w:val="49"/>
    <w:qFormat/>
    <w:uiPriority w:val="0"/>
    <w:rPr>
      <w:rFonts w:ascii="Times New Roman" w:hAnsi="Times New Roman" w:eastAsia="宋体" w:cs="Times New Roman"/>
      <w:sz w:val="16"/>
      <w:szCs w:val="16"/>
    </w:rPr>
  </w:style>
  <w:style w:type="character" w:customStyle="1" w:styleId="289">
    <w:name w:val="正文文本 2 字符"/>
    <w:link w:val="55"/>
    <w:qFormat/>
    <w:uiPriority w:val="0"/>
    <w:rPr>
      <w:rFonts w:ascii="Times New Roman" w:hAnsi="Times New Roman" w:eastAsia="宋体" w:cs="Times New Roman"/>
      <w:b/>
      <w:bCs/>
      <w:sz w:val="18"/>
      <w:szCs w:val="24"/>
    </w:rPr>
  </w:style>
  <w:style w:type="character" w:customStyle="1" w:styleId="290">
    <w:name w:val="HTML 预设格式 字符"/>
    <w:link w:val="56"/>
    <w:qFormat/>
    <w:uiPriority w:val="0"/>
    <w:rPr>
      <w:rFonts w:ascii="等线 Light" w:hAnsi="等线 Light" w:eastAsia="幼圆" w:cs="等线 Light"/>
      <w:sz w:val="24"/>
      <w:szCs w:val="22"/>
    </w:rPr>
  </w:style>
  <w:style w:type="paragraph" w:customStyle="1" w:styleId="291">
    <w:name w:val="正文首行缩进1"/>
    <w:basedOn w:val="3"/>
    <w:link w:val="292"/>
    <w:qFormat/>
    <w:uiPriority w:val="0"/>
  </w:style>
  <w:style w:type="character" w:customStyle="1" w:styleId="292">
    <w:name w:val="正文文本首行缩进 字符"/>
    <w:link w:val="291"/>
    <w:qFormat/>
    <w:uiPriority w:val="0"/>
    <w:rPr>
      <w:rFonts w:ascii="Times New Roman" w:hAnsi="Times New Roman" w:eastAsia="宋体" w:cs="Times New Roman"/>
      <w:sz w:val="24"/>
      <w:szCs w:val="24"/>
    </w:rPr>
  </w:style>
  <w:style w:type="character" w:customStyle="1" w:styleId="293">
    <w:name w:val="已访问的超链接1"/>
    <w:qFormat/>
    <w:uiPriority w:val="99"/>
    <w:rPr>
      <w:color w:val="800080"/>
      <w:u w:val="single"/>
    </w:rPr>
  </w:style>
  <w:style w:type="character" w:customStyle="1" w:styleId="294">
    <w:name w:val="列表段落 字符1"/>
    <w:link w:val="146"/>
    <w:qFormat/>
    <w:uiPriority w:val="99"/>
  </w:style>
  <w:style w:type="character" w:customStyle="1" w:styleId="295">
    <w:name w:val="文档结构图 Char1"/>
    <w:semiHidden/>
    <w:qFormat/>
    <w:uiPriority w:val="99"/>
    <w:rPr>
      <w:rFonts w:ascii="宋体" w:hAnsi="Times New Roman" w:eastAsia="宋体" w:cs="Times New Roman"/>
      <w:sz w:val="18"/>
      <w:szCs w:val="18"/>
    </w:rPr>
  </w:style>
  <w:style w:type="character" w:customStyle="1" w:styleId="296">
    <w:name w:val="普通正文 Char"/>
    <w:link w:val="297"/>
    <w:qFormat/>
    <w:uiPriority w:val="0"/>
    <w:rPr>
      <w:rFonts w:ascii="Arial" w:hAnsi="Arial"/>
      <w:sz w:val="24"/>
      <w:szCs w:val="24"/>
    </w:rPr>
  </w:style>
  <w:style w:type="paragraph" w:customStyle="1" w:styleId="297">
    <w:name w:val="普通正文"/>
    <w:basedOn w:val="1"/>
    <w:link w:val="296"/>
    <w:qFormat/>
    <w:uiPriority w:val="99"/>
    <w:pPr>
      <w:spacing w:before="120" w:after="120" w:line="360" w:lineRule="auto"/>
      <w:ind w:left="-2" w:right="120" w:firstLine="480"/>
      <w:jc w:val="center"/>
    </w:pPr>
    <w:rPr>
      <w:rFonts w:ascii="Arial" w:hAnsi="Arial"/>
      <w:sz w:val="24"/>
    </w:rPr>
  </w:style>
  <w:style w:type="character" w:customStyle="1" w:styleId="298">
    <w:name w:val="FA正文 Char"/>
    <w:link w:val="299"/>
    <w:qFormat/>
    <w:uiPriority w:val="0"/>
    <w:rPr>
      <w:rFonts w:ascii="宋体" w:hAnsi="宋体" w:eastAsia="宋体" w:cs="Times New Roman"/>
      <w:sz w:val="28"/>
      <w:szCs w:val="28"/>
    </w:rPr>
  </w:style>
  <w:style w:type="paragraph" w:customStyle="1" w:styleId="299">
    <w:name w:val="FA正文"/>
    <w:basedOn w:val="1"/>
    <w:link w:val="298"/>
    <w:qFormat/>
    <w:uiPriority w:val="0"/>
    <w:pPr>
      <w:tabs>
        <w:tab w:val="left" w:pos="3375"/>
      </w:tabs>
      <w:spacing w:line="440" w:lineRule="atLeast"/>
      <w:ind w:firstLine="538"/>
    </w:pPr>
    <w:rPr>
      <w:rFonts w:ascii="宋体" w:hAnsi="宋体"/>
      <w:sz w:val="28"/>
      <w:szCs w:val="28"/>
    </w:rPr>
  </w:style>
  <w:style w:type="character" w:customStyle="1" w:styleId="300">
    <w:name w:val="正文缩进2格 Char"/>
    <w:link w:val="301"/>
    <w:qFormat/>
    <w:uiPriority w:val="0"/>
    <w:rPr>
      <w:rFonts w:ascii="仿宋_GB2312" w:hAnsi="宋体" w:eastAsia="仿宋_GB2312" w:cs="Times New Roman"/>
      <w:sz w:val="31"/>
      <w:szCs w:val="28"/>
    </w:rPr>
  </w:style>
  <w:style w:type="paragraph" w:customStyle="1" w:styleId="301">
    <w:name w:val="正文缩进2格"/>
    <w:basedOn w:val="1"/>
    <w:link w:val="300"/>
    <w:qFormat/>
    <w:uiPriority w:val="0"/>
    <w:pPr>
      <w:spacing w:line="600" w:lineRule="exact"/>
      <w:ind w:firstLine="639"/>
    </w:pPr>
    <w:rPr>
      <w:rFonts w:ascii="仿宋_GB2312" w:hAnsi="宋体" w:eastAsia="仿宋_GB2312"/>
      <w:sz w:val="31"/>
      <w:szCs w:val="28"/>
    </w:rPr>
  </w:style>
  <w:style w:type="character" w:customStyle="1" w:styleId="302">
    <w:name w:val="cn_text1"/>
    <w:qFormat/>
    <w:uiPriority w:val="0"/>
    <w:rPr>
      <w:rFonts w:ascii="仿宋" w:hAnsi="仿宋"/>
      <w:color w:val="003399"/>
      <w:spacing w:val="15"/>
      <w:sz w:val="18"/>
      <w:szCs w:val="18"/>
    </w:rPr>
  </w:style>
  <w:style w:type="character" w:customStyle="1" w:styleId="303">
    <w:name w:val="ssss Char"/>
    <w:qFormat/>
    <w:uiPriority w:val="0"/>
    <w:rPr>
      <w:rFonts w:eastAsia="宋体"/>
      <w:sz w:val="24"/>
      <w:szCs w:val="24"/>
      <w:lang w:val="en-US" w:eastAsia="zh-CN" w:bidi="ar-SA"/>
    </w:rPr>
  </w:style>
  <w:style w:type="character" w:customStyle="1" w:styleId="304">
    <w:name w:val="ssss Char1"/>
    <w:link w:val="305"/>
    <w:qFormat/>
    <w:uiPriority w:val="0"/>
    <w:rPr>
      <w:rFonts w:ascii="Times New Roman" w:hAnsi="Times New Roman" w:eastAsia="宋体" w:cs="Times New Roman"/>
      <w:sz w:val="24"/>
      <w:szCs w:val="24"/>
    </w:rPr>
  </w:style>
  <w:style w:type="paragraph" w:customStyle="1" w:styleId="305">
    <w:name w:val="ssss"/>
    <w:basedOn w:val="1"/>
    <w:link w:val="304"/>
    <w:qFormat/>
    <w:uiPriority w:val="0"/>
    <w:pPr>
      <w:spacing w:line="360" w:lineRule="auto"/>
      <w:ind w:firstLine="480"/>
    </w:pPr>
    <w:rPr>
      <w:sz w:val="24"/>
    </w:rPr>
  </w:style>
  <w:style w:type="character" w:customStyle="1" w:styleId="306">
    <w:name w:val="标题 4 Char1"/>
    <w:qFormat/>
    <w:uiPriority w:val="0"/>
    <w:rPr>
      <w:rFonts w:ascii="Arial" w:hAnsi="Arial" w:eastAsia="黑体"/>
      <w:b/>
      <w:bCs/>
      <w:sz w:val="28"/>
      <w:szCs w:val="28"/>
      <w:lang w:val="en-US" w:eastAsia="zh-CN" w:bidi="ar-SA"/>
    </w:rPr>
  </w:style>
  <w:style w:type="character" w:customStyle="1" w:styleId="307">
    <w:name w:val="列表段落 字符"/>
    <w:qFormat/>
    <w:uiPriority w:val="34"/>
    <w:rPr>
      <w:rFonts w:ascii="Calibri" w:hAnsi="Calibri"/>
      <w:sz w:val="21"/>
      <w:szCs w:val="22"/>
    </w:rPr>
  </w:style>
  <w:style w:type="character" w:customStyle="1" w:styleId="308">
    <w:name w:val="批注框文本 Char1"/>
    <w:semiHidden/>
    <w:qFormat/>
    <w:uiPriority w:val="99"/>
    <w:rPr>
      <w:rFonts w:ascii="Times New Roman" w:hAnsi="Times New Roman" w:eastAsia="宋体" w:cs="Times New Roman"/>
      <w:sz w:val="18"/>
      <w:szCs w:val="18"/>
    </w:rPr>
  </w:style>
  <w:style w:type="character" w:customStyle="1" w:styleId="309">
    <w:name w:val="样式 ssss + 宋体 五号1 Char"/>
    <w:link w:val="310"/>
    <w:qFormat/>
    <w:uiPriority w:val="0"/>
    <w:rPr>
      <w:rFonts w:ascii="宋体" w:hAnsi="宋体" w:eastAsia="宋体" w:cs="Times New Roman"/>
      <w:sz w:val="24"/>
      <w:szCs w:val="24"/>
    </w:rPr>
  </w:style>
  <w:style w:type="paragraph" w:customStyle="1" w:styleId="310">
    <w:name w:val="样式 ssss + 宋体 五号1"/>
    <w:basedOn w:val="305"/>
    <w:link w:val="309"/>
    <w:qFormat/>
    <w:uiPriority w:val="0"/>
    <w:rPr>
      <w:rFonts w:ascii="宋体" w:hAnsi="宋体"/>
    </w:rPr>
  </w:style>
  <w:style w:type="character" w:customStyle="1" w:styleId="311">
    <w:name w:val="point_normal1"/>
    <w:qFormat/>
    <w:uiPriority w:val="0"/>
    <w:rPr>
      <w:rFonts w:ascii="Arial" w:hAnsi="Arial" w:cs="Arial"/>
      <w:sz w:val="16"/>
      <w:szCs w:val="16"/>
    </w:rPr>
  </w:style>
  <w:style w:type="paragraph" w:customStyle="1" w:styleId="312">
    <w:name w:val="样式 正文文本缩进 3 + 四号"/>
    <w:basedOn w:val="49"/>
    <w:qFormat/>
    <w:uiPriority w:val="0"/>
    <w:pPr>
      <w:spacing w:after="0" w:line="360" w:lineRule="auto"/>
      <w:ind w:left="0" w:firstLine="437"/>
    </w:pPr>
    <w:rPr>
      <w:sz w:val="24"/>
      <w:szCs w:val="21"/>
    </w:rPr>
  </w:style>
  <w:style w:type="paragraph" w:customStyle="1" w:styleId="313">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314">
    <w:name w:val="ec_msonormal"/>
    <w:basedOn w:val="1"/>
    <w:qFormat/>
    <w:uiPriority w:val="0"/>
    <w:pPr>
      <w:widowControl/>
      <w:spacing w:before="100" w:beforeAutospacing="1" w:after="100" w:afterAutospacing="1"/>
      <w:jc w:val="left"/>
    </w:pPr>
    <w:rPr>
      <w:rFonts w:ascii="宋体" w:hAnsi="宋体"/>
      <w:sz w:val="24"/>
    </w:rPr>
  </w:style>
  <w:style w:type="paragraph" w:customStyle="1" w:styleId="315">
    <w:name w:val="Char Char Char Char"/>
    <w:basedOn w:val="1"/>
    <w:qFormat/>
    <w:uiPriority w:val="0"/>
    <w:rPr>
      <w:rFonts w:ascii="Tahoma" w:hAnsi="Tahoma"/>
      <w:sz w:val="24"/>
      <w:szCs w:val="20"/>
    </w:rPr>
  </w:style>
  <w:style w:type="paragraph" w:customStyle="1" w:styleId="316">
    <w:name w:val="Char Char Char Char Char Char Char Char Char Char Char Char Char"/>
    <w:basedOn w:val="1"/>
    <w:qFormat/>
    <w:uiPriority w:val="0"/>
  </w:style>
  <w:style w:type="paragraph" w:customStyle="1" w:styleId="317">
    <w:name w:val="表格正文"/>
    <w:basedOn w:val="1"/>
    <w:qFormat/>
    <w:uiPriority w:val="0"/>
    <w:pPr>
      <w:spacing w:line="360" w:lineRule="auto"/>
      <w:jc w:val="left"/>
    </w:pPr>
    <w:rPr>
      <w:rFonts w:ascii="Calibri" w:hAnsi="Calibri"/>
      <w:color w:val="000000"/>
      <w:szCs w:val="28"/>
    </w:rPr>
  </w:style>
  <w:style w:type="paragraph" w:customStyle="1" w:styleId="318">
    <w:name w:val="Normal1"/>
    <w:qFormat/>
    <w:uiPriority w:val="0"/>
    <w:pPr>
      <w:widowControl w:val="0"/>
      <w:spacing w:line="315" w:lineRule="atLeast"/>
      <w:jc w:val="both"/>
    </w:pPr>
    <w:rPr>
      <w:rFonts w:hint="default" w:ascii="宋体" w:hAnsi="Times New Roman" w:eastAsia="宋体" w:cs="Times New Roman"/>
      <w:sz w:val="24"/>
    </w:rPr>
  </w:style>
  <w:style w:type="paragraph" w:customStyle="1" w:styleId="319">
    <w:name w:val="Char Char Char Char1"/>
    <w:basedOn w:val="1"/>
    <w:qFormat/>
    <w:uiPriority w:val="0"/>
    <w:rPr>
      <w:rFonts w:ascii="Tahoma" w:hAnsi="Tahoma"/>
      <w:sz w:val="24"/>
      <w:szCs w:val="20"/>
    </w:rPr>
  </w:style>
  <w:style w:type="paragraph" w:customStyle="1" w:styleId="320">
    <w:name w:val="Char Char Char"/>
    <w:basedOn w:val="1"/>
    <w:qFormat/>
    <w:uiPriority w:val="0"/>
    <w:rPr>
      <w:rFonts w:ascii="Tahoma" w:hAnsi="Tahoma"/>
      <w:sz w:val="24"/>
      <w:szCs w:val="20"/>
    </w:rPr>
  </w:style>
  <w:style w:type="paragraph" w:customStyle="1" w:styleId="321">
    <w:name w:val="标题-----3"/>
    <w:basedOn w:val="6"/>
    <w:qFormat/>
    <w:uiPriority w:val="0"/>
    <w:pPr>
      <w:spacing w:after="0" w:line="240" w:lineRule="auto"/>
      <w:outlineLvl w:val="0"/>
    </w:pPr>
    <w:rPr>
      <w:rFonts w:ascii="宋体" w:hAnsi="宋体"/>
      <w:b w:val="0"/>
      <w:sz w:val="28"/>
      <w:szCs w:val="28"/>
    </w:rPr>
  </w:style>
  <w:style w:type="paragraph" w:customStyle="1" w:styleId="322">
    <w:name w:val="样式 ssss + 居中"/>
    <w:basedOn w:val="305"/>
    <w:qFormat/>
    <w:uiPriority w:val="0"/>
    <w:pPr>
      <w:jc w:val="center"/>
    </w:pPr>
    <w:rPr>
      <w:rFonts w:cs="宋体"/>
      <w:szCs w:val="20"/>
    </w:rPr>
  </w:style>
  <w:style w:type="paragraph" w:customStyle="1" w:styleId="323">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324">
    <w:name w:val="样式 样式 ssss + 宋体 五号 + 首行缩进:  2 字符"/>
    <w:basedOn w:val="325"/>
    <w:qFormat/>
    <w:uiPriority w:val="0"/>
    <w:pPr>
      <w:ind w:firstLine="480"/>
    </w:pPr>
  </w:style>
  <w:style w:type="paragraph" w:customStyle="1" w:styleId="325">
    <w:name w:val="样式 ssss + 宋体 五号"/>
    <w:basedOn w:val="305"/>
    <w:qFormat/>
    <w:uiPriority w:val="0"/>
    <w:pPr>
      <w:ind w:firstLine="420"/>
    </w:pPr>
    <w:rPr>
      <w:rFonts w:ascii="宋体" w:hAnsi="宋体" w:cs="宋体"/>
      <w:szCs w:val="20"/>
    </w:rPr>
  </w:style>
  <w:style w:type="paragraph" w:customStyle="1" w:styleId="326">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327">
    <w:name w:val="Char"/>
    <w:basedOn w:val="1"/>
    <w:qFormat/>
    <w:uiPriority w:val="0"/>
    <w:rPr>
      <w:rFonts w:ascii="Tahoma" w:hAnsi="Tahoma"/>
      <w:sz w:val="24"/>
      <w:szCs w:val="20"/>
    </w:rPr>
  </w:style>
  <w:style w:type="paragraph" w:customStyle="1" w:styleId="328">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329">
    <w:name w:val="标题------4"/>
    <w:basedOn w:val="7"/>
    <w:qFormat/>
    <w:uiPriority w:val="0"/>
    <w:pPr>
      <w:keepLines/>
      <w:ind w:left="960" w:hanging="420"/>
      <w:jc w:val="both"/>
    </w:pPr>
    <w:rPr>
      <w:rFonts w:ascii="仿宋_GB2312" w:hAnsi="宋体" w:eastAsia="仿宋_GB2312" w:cs="仿宋_GB2312"/>
      <w:b/>
      <w:sz w:val="28"/>
      <w:szCs w:val="28"/>
      <w:lang w:val="zh-CN"/>
    </w:rPr>
  </w:style>
  <w:style w:type="paragraph" w:customStyle="1" w:styleId="330">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331">
    <w:name w:val="Char Char Char Char Char Char Char Char Char Char Char Char Char1"/>
    <w:basedOn w:val="1"/>
    <w:qFormat/>
    <w:uiPriority w:val="0"/>
    <w:rPr>
      <w:sz w:val="24"/>
    </w:rPr>
  </w:style>
  <w:style w:type="paragraph" w:customStyle="1" w:styleId="332">
    <w:name w:val="表格"/>
    <w:basedOn w:val="1"/>
    <w:qFormat/>
    <w:uiPriority w:val="0"/>
    <w:rPr>
      <w:rFonts w:ascii="Arial" w:hAnsi="Arial"/>
      <w:sz w:val="24"/>
    </w:rPr>
  </w:style>
  <w:style w:type="paragraph" w:customStyle="1" w:styleId="333">
    <w:name w:val="正文样式1"/>
    <w:basedOn w:val="1"/>
    <w:qFormat/>
    <w:uiPriority w:val="0"/>
    <w:pPr>
      <w:spacing w:before="120" w:after="120" w:line="360" w:lineRule="auto"/>
      <w:ind w:firstLine="480"/>
    </w:pPr>
    <w:rPr>
      <w:sz w:val="24"/>
      <w:szCs w:val="20"/>
    </w:rPr>
  </w:style>
  <w:style w:type="paragraph" w:customStyle="1" w:styleId="33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5">
    <w:name w:val="Char Char Char Char Char Char Char Char Char Char"/>
    <w:basedOn w:val="1"/>
    <w:qFormat/>
    <w:uiPriority w:val="0"/>
    <w:rPr>
      <w:rFonts w:ascii="Tahoma" w:hAnsi="Tahoma"/>
      <w:sz w:val="24"/>
      <w:szCs w:val="20"/>
    </w:rPr>
  </w:style>
  <w:style w:type="paragraph" w:customStyle="1" w:styleId="336">
    <w:name w:val="Char1"/>
    <w:basedOn w:val="1"/>
    <w:qFormat/>
    <w:uiPriority w:val="0"/>
    <w:pPr>
      <w:tabs>
        <w:tab w:val="left" w:pos="360"/>
      </w:tabs>
    </w:pPr>
    <w:rPr>
      <w:sz w:val="24"/>
    </w:rPr>
  </w:style>
  <w:style w:type="paragraph" w:customStyle="1" w:styleId="33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38">
    <w:name w:val="Header2"/>
    <w:basedOn w:val="1"/>
    <w:qFormat/>
    <w:uiPriority w:val="0"/>
    <w:pPr>
      <w:numPr>
        <w:ilvl w:val="0"/>
        <w:numId w:val="1"/>
      </w:numPr>
    </w:pPr>
  </w:style>
  <w:style w:type="paragraph" w:customStyle="1" w:styleId="339">
    <w:name w:val="Char Char 字元 字元 字元 Char Char Char Char"/>
    <w:basedOn w:val="1"/>
    <w:qFormat/>
    <w:uiPriority w:val="0"/>
    <w:pPr>
      <w:spacing w:line="360" w:lineRule="auto"/>
    </w:pPr>
    <w:rPr>
      <w:sz w:val="24"/>
      <w:szCs w:val="20"/>
    </w:rPr>
  </w:style>
  <w:style w:type="paragraph" w:customStyle="1" w:styleId="340">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341">
    <w:name w:val="正文_0_0"/>
    <w:qFormat/>
    <w:uiPriority w:val="0"/>
    <w:pPr>
      <w:widowControl w:val="0"/>
      <w:jc w:val="both"/>
    </w:pPr>
    <w:rPr>
      <w:rFonts w:hint="default" w:ascii="Times New Roman" w:hAnsi="Times New Roman" w:eastAsia="宋体" w:cs="Times New Roman"/>
      <w:sz w:val="21"/>
      <w:szCs w:val="24"/>
    </w:rPr>
  </w:style>
  <w:style w:type="paragraph" w:customStyle="1" w:styleId="342">
    <w:name w:val="正文_1_0"/>
    <w:qFormat/>
    <w:uiPriority w:val="0"/>
    <w:pPr>
      <w:widowControl w:val="0"/>
      <w:jc w:val="both"/>
    </w:pPr>
    <w:rPr>
      <w:rFonts w:hint="default" w:ascii="Times New Roman" w:hAnsi="Times New Roman" w:eastAsia="宋体" w:cs="Times New Roman"/>
      <w:sz w:val="21"/>
      <w:szCs w:val="24"/>
    </w:rPr>
  </w:style>
  <w:style w:type="table" w:customStyle="1" w:styleId="343">
    <w:name w:val="网格型1"/>
    <w:basedOn w:val="62"/>
    <w:qFormat/>
    <w:uiPriority w:val="0"/>
    <w:rPr>
      <w:rFonts w:ascii="等线" w:hAnsi="等线" w:eastAsia="等线"/>
      <w:sz w:val="21"/>
      <w:szCs w:val="22"/>
    </w:rPr>
  </w:style>
  <w:style w:type="paragraph" w:customStyle="1" w:styleId="344">
    <w:name w:val="正文_3"/>
    <w:qFormat/>
    <w:uiPriority w:val="0"/>
    <w:pPr>
      <w:widowControl w:val="0"/>
      <w:jc w:val="both"/>
    </w:pPr>
    <w:rPr>
      <w:rFonts w:hint="default" w:ascii="Times New Roman" w:hAnsi="Times New Roman" w:eastAsia="宋体" w:cs="Times New Roman"/>
      <w:sz w:val="21"/>
      <w:szCs w:val="24"/>
    </w:rPr>
  </w:style>
  <w:style w:type="paragraph" w:customStyle="1" w:styleId="345">
    <w:name w:val="修订1"/>
    <w:unhideWhenUsed/>
    <w:qFormat/>
    <w:uiPriority w:val="99"/>
    <w:rPr>
      <w:rFonts w:hint="default" w:ascii="Times New Roman" w:hAnsi="Times New Roman" w:eastAsia="宋体" w:cs="Times New Roman"/>
      <w:sz w:val="21"/>
      <w:szCs w:val="24"/>
    </w:rPr>
  </w:style>
  <w:style w:type="paragraph" w:customStyle="1" w:styleId="346">
    <w:name w:val="列出段落1"/>
    <w:basedOn w:val="1"/>
    <w:link w:val="375"/>
    <w:qFormat/>
    <w:uiPriority w:val="0"/>
    <w:pPr>
      <w:ind w:firstLine="200"/>
    </w:pPr>
    <w:rPr>
      <w:rFonts w:ascii="Wingdings" w:hAnsi="Wingdings" w:eastAsia="幼圆" w:cs="Miss Sweetie"/>
      <w:szCs w:val="22"/>
    </w:rPr>
  </w:style>
  <w:style w:type="paragraph" w:customStyle="1" w:styleId="347">
    <w:name w:val="Char1 Char Char Char"/>
    <w:basedOn w:val="1"/>
    <w:qFormat/>
    <w:uiPriority w:val="0"/>
    <w:pPr>
      <w:widowControl/>
      <w:spacing w:after="160" w:line="240" w:lineRule="exact"/>
      <w:jc w:val="left"/>
    </w:pPr>
    <w:rPr>
      <w:szCs w:val="20"/>
    </w:rPr>
  </w:style>
  <w:style w:type="paragraph" w:customStyle="1" w:styleId="348">
    <w:name w:val="正文_2"/>
    <w:qFormat/>
    <w:uiPriority w:val="0"/>
    <w:pPr>
      <w:widowControl w:val="0"/>
      <w:jc w:val="both"/>
    </w:pPr>
    <w:rPr>
      <w:rFonts w:hint="default" w:ascii="等线" w:hAnsi="等线" w:eastAsia="等线" w:cs="等线"/>
      <w:sz w:val="21"/>
    </w:rPr>
  </w:style>
  <w:style w:type="paragraph" w:customStyle="1" w:styleId="349">
    <w:name w:val="列表段落4"/>
    <w:basedOn w:val="1"/>
    <w:qFormat/>
    <w:uiPriority w:val="34"/>
    <w:pPr>
      <w:ind w:firstLine="420"/>
    </w:pPr>
    <w:rPr>
      <w:szCs w:val="22"/>
    </w:rPr>
  </w:style>
  <w:style w:type="character" w:customStyle="1" w:styleId="350">
    <w:name w:val="font51"/>
    <w:basedOn w:val="64"/>
    <w:qFormat/>
    <w:uiPriority w:val="99"/>
    <w:rPr>
      <w:rFonts w:hint="eastAsia" w:ascii="宋体" w:hAnsi="宋体" w:eastAsia="宋体" w:cs="宋体"/>
      <w:color w:val="000000"/>
      <w:sz w:val="24"/>
      <w:szCs w:val="24"/>
      <w:u w:val="none"/>
    </w:rPr>
  </w:style>
  <w:style w:type="character" w:customStyle="1" w:styleId="351">
    <w:name w:val="font71"/>
    <w:basedOn w:val="64"/>
    <w:qFormat/>
    <w:uiPriority w:val="0"/>
    <w:rPr>
      <w:rFonts w:hint="eastAsia" w:ascii="宋体" w:hAnsi="宋体" w:eastAsia="宋体" w:cs="宋体"/>
      <w:color w:val="000000"/>
      <w:sz w:val="24"/>
      <w:szCs w:val="24"/>
      <w:u w:val="none"/>
    </w:rPr>
  </w:style>
  <w:style w:type="character" w:customStyle="1" w:styleId="352">
    <w:name w:val="font61"/>
    <w:basedOn w:val="64"/>
    <w:qFormat/>
    <w:uiPriority w:val="0"/>
    <w:rPr>
      <w:rFonts w:hint="eastAsia" w:ascii="宋体" w:hAnsi="宋体" w:eastAsia="宋体" w:cs="宋体"/>
      <w:color w:val="000000"/>
      <w:sz w:val="24"/>
      <w:szCs w:val="24"/>
      <w:u w:val="none"/>
    </w:rPr>
  </w:style>
  <w:style w:type="character" w:customStyle="1" w:styleId="353">
    <w:name w:val="font81"/>
    <w:basedOn w:val="64"/>
    <w:qFormat/>
    <w:uiPriority w:val="0"/>
    <w:rPr>
      <w:rFonts w:hint="eastAsia" w:ascii="宋体" w:hAnsi="宋体" w:eastAsia="宋体" w:cs="宋体"/>
      <w:color w:val="000000"/>
      <w:sz w:val="24"/>
      <w:szCs w:val="24"/>
      <w:u w:val="none"/>
    </w:rPr>
  </w:style>
  <w:style w:type="character" w:customStyle="1" w:styleId="354">
    <w:name w:val="批注文字 字符"/>
    <w:basedOn w:val="64"/>
    <w:link w:val="21"/>
    <w:qFormat/>
    <w:uiPriority w:val="0"/>
    <w:rPr>
      <w:rFonts w:ascii="Calibri" w:hAnsi="Calibri"/>
      <w:sz w:val="21"/>
      <w:szCs w:val="22"/>
    </w:rPr>
  </w:style>
  <w:style w:type="character" w:customStyle="1" w:styleId="355">
    <w:name w:val="签名 字符"/>
    <w:basedOn w:val="64"/>
    <w:link w:val="40"/>
    <w:qFormat/>
    <w:uiPriority w:val="0"/>
    <w:rPr>
      <w:rFonts w:ascii="Calibri" w:hAnsi="Calibri" w:eastAsia="仿宋_GB2312"/>
      <w:sz w:val="24"/>
    </w:rPr>
  </w:style>
  <w:style w:type="character" w:customStyle="1" w:styleId="356">
    <w:name w:val="批注主题 字符"/>
    <w:basedOn w:val="354"/>
    <w:link w:val="60"/>
    <w:qFormat/>
    <w:uiPriority w:val="99"/>
    <w:rPr>
      <w:rFonts w:ascii="Calibri" w:hAnsi="Calibri"/>
      <w:b/>
      <w:bCs/>
      <w:sz w:val="21"/>
      <w:szCs w:val="21"/>
    </w:rPr>
  </w:style>
  <w:style w:type="paragraph" w:customStyle="1" w:styleId="357">
    <w:name w:val="目录 711"/>
    <w:basedOn w:val="1"/>
    <w:next w:val="1"/>
    <w:semiHidden/>
    <w:qFormat/>
    <w:uiPriority w:val="0"/>
    <w:pPr>
      <w:ind w:left="1260"/>
      <w:jc w:val="left"/>
    </w:pPr>
    <w:rPr>
      <w:szCs w:val="21"/>
    </w:rPr>
  </w:style>
  <w:style w:type="paragraph" w:customStyle="1" w:styleId="358">
    <w:name w:val="目录 511"/>
    <w:basedOn w:val="1"/>
    <w:next w:val="1"/>
    <w:semiHidden/>
    <w:qFormat/>
    <w:uiPriority w:val="0"/>
    <w:pPr>
      <w:ind w:left="840"/>
      <w:jc w:val="left"/>
    </w:pPr>
    <w:rPr>
      <w:szCs w:val="21"/>
    </w:rPr>
  </w:style>
  <w:style w:type="paragraph" w:customStyle="1" w:styleId="359">
    <w:name w:val="目录 311"/>
    <w:basedOn w:val="1"/>
    <w:next w:val="1"/>
    <w:semiHidden/>
    <w:qFormat/>
    <w:uiPriority w:val="0"/>
    <w:pPr>
      <w:ind w:left="420"/>
      <w:jc w:val="left"/>
    </w:pPr>
    <w:rPr>
      <w:i/>
      <w:iCs/>
    </w:rPr>
  </w:style>
  <w:style w:type="paragraph" w:customStyle="1" w:styleId="360">
    <w:name w:val="目录 811"/>
    <w:basedOn w:val="1"/>
    <w:next w:val="1"/>
    <w:semiHidden/>
    <w:qFormat/>
    <w:uiPriority w:val="0"/>
    <w:pPr>
      <w:ind w:left="1470"/>
      <w:jc w:val="left"/>
    </w:pPr>
    <w:rPr>
      <w:szCs w:val="21"/>
    </w:rPr>
  </w:style>
  <w:style w:type="paragraph" w:customStyle="1" w:styleId="361">
    <w:name w:val="目录 111"/>
    <w:basedOn w:val="1"/>
    <w:next w:val="1"/>
    <w:semiHidden/>
    <w:qFormat/>
    <w:uiPriority w:val="0"/>
    <w:pPr>
      <w:tabs>
        <w:tab w:val="right" w:leader="dot" w:pos="8720"/>
      </w:tabs>
      <w:spacing w:before="120" w:after="120" w:line="400" w:lineRule="exact"/>
      <w:jc w:val="left"/>
    </w:pPr>
    <w:rPr>
      <w:rFonts w:ascii="宋体" w:hAnsi="宋体"/>
      <w:caps/>
      <w:sz w:val="24"/>
    </w:rPr>
  </w:style>
  <w:style w:type="paragraph" w:customStyle="1" w:styleId="362">
    <w:name w:val="目录 411"/>
    <w:basedOn w:val="1"/>
    <w:next w:val="1"/>
    <w:semiHidden/>
    <w:qFormat/>
    <w:uiPriority w:val="0"/>
    <w:pPr>
      <w:ind w:left="630"/>
      <w:jc w:val="left"/>
    </w:pPr>
    <w:rPr>
      <w:szCs w:val="21"/>
    </w:rPr>
  </w:style>
  <w:style w:type="paragraph" w:customStyle="1" w:styleId="363">
    <w:name w:val="目录 611"/>
    <w:basedOn w:val="1"/>
    <w:next w:val="1"/>
    <w:semiHidden/>
    <w:qFormat/>
    <w:uiPriority w:val="0"/>
    <w:pPr>
      <w:ind w:left="1050"/>
      <w:jc w:val="left"/>
    </w:pPr>
    <w:rPr>
      <w:szCs w:val="21"/>
    </w:rPr>
  </w:style>
  <w:style w:type="paragraph" w:customStyle="1" w:styleId="364">
    <w:name w:val="目录 211"/>
    <w:basedOn w:val="1"/>
    <w:next w:val="1"/>
    <w:semiHidden/>
    <w:qFormat/>
    <w:uiPriority w:val="0"/>
    <w:pPr>
      <w:ind w:left="210"/>
      <w:jc w:val="left"/>
    </w:pPr>
    <w:rPr>
      <w:smallCaps/>
    </w:rPr>
  </w:style>
  <w:style w:type="paragraph" w:customStyle="1" w:styleId="365">
    <w:name w:val="目录 911"/>
    <w:basedOn w:val="1"/>
    <w:next w:val="1"/>
    <w:semiHidden/>
    <w:qFormat/>
    <w:uiPriority w:val="0"/>
    <w:pPr>
      <w:ind w:left="1680"/>
      <w:jc w:val="left"/>
    </w:pPr>
    <w:rPr>
      <w:szCs w:val="21"/>
    </w:rPr>
  </w:style>
  <w:style w:type="paragraph" w:customStyle="1" w:styleId="366">
    <w:name w:val="正文首行缩进11"/>
    <w:basedOn w:val="3"/>
    <w:link w:val="367"/>
    <w:qFormat/>
    <w:uiPriority w:val="0"/>
    <w:pPr>
      <w:ind w:firstLine="200"/>
    </w:pPr>
    <w:rPr>
      <w:sz w:val="30"/>
      <w:szCs w:val="30"/>
    </w:rPr>
  </w:style>
  <w:style w:type="character" w:customStyle="1" w:styleId="367">
    <w:name w:val="正文首行缩进 Char"/>
    <w:link w:val="366"/>
    <w:qFormat/>
    <w:uiPriority w:val="0"/>
    <w:rPr>
      <w:rFonts w:ascii="仿宋_GB2312" w:eastAsia="仿宋_GB2312"/>
      <w:sz w:val="30"/>
      <w:szCs w:val="30"/>
    </w:rPr>
  </w:style>
  <w:style w:type="paragraph" w:customStyle="1" w:styleId="368">
    <w:name w:val="正文首行缩进 21112"/>
    <w:basedOn w:val="24"/>
    <w:link w:val="369"/>
    <w:qFormat/>
    <w:uiPriority w:val="0"/>
    <w:pPr>
      <w:spacing w:line="360" w:lineRule="auto"/>
      <w:ind w:left="0" w:firstLine="420"/>
    </w:pPr>
    <w:rPr>
      <w:rFonts w:ascii="宋体" w:hAnsi="宋体" w:eastAsia="宋体"/>
      <w:sz w:val="20"/>
    </w:rPr>
  </w:style>
  <w:style w:type="character" w:customStyle="1" w:styleId="369">
    <w:name w:val="正文首行缩进 2 Char"/>
    <w:link w:val="368"/>
    <w:qFormat/>
    <w:uiPriority w:val="0"/>
    <w:rPr>
      <w:rFonts w:ascii="宋体" w:hAnsi="宋体"/>
    </w:rPr>
  </w:style>
  <w:style w:type="character" w:customStyle="1" w:styleId="370">
    <w:name w:val="已访问的超链接11"/>
    <w:qFormat/>
    <w:uiPriority w:val="0"/>
    <w:rPr>
      <w:color w:val="800080"/>
      <w:u w:val="single"/>
    </w:rPr>
  </w:style>
  <w:style w:type="paragraph" w:customStyle="1" w:styleId="371">
    <w:name w:val="列出段落"/>
    <w:basedOn w:val="1"/>
    <w:qFormat/>
    <w:uiPriority w:val="0"/>
    <w:pPr>
      <w:widowControl/>
      <w:ind w:left="720"/>
      <w:contextualSpacing/>
      <w:jc w:val="left"/>
    </w:pPr>
    <w:rPr>
      <w:rFonts w:ascii="Calibri" w:hAnsi="Calibri"/>
      <w:sz w:val="24"/>
      <w:lang w:eastAsia="en-US" w:bidi="en-US"/>
    </w:rPr>
  </w:style>
  <w:style w:type="character" w:customStyle="1" w:styleId="372">
    <w:name w:val="font5 Char"/>
    <w:qFormat/>
    <w:uiPriority w:val="0"/>
    <w:rPr>
      <w:rFonts w:ascii="宋体" w:hAnsi="宋体" w:eastAsia="宋体"/>
      <w:sz w:val="28"/>
      <w:szCs w:val="28"/>
      <w:lang w:val="en-US" w:eastAsia="zh-CN" w:bidi="ar-SA"/>
    </w:rPr>
  </w:style>
  <w:style w:type="character" w:customStyle="1" w:styleId="373">
    <w:name w:val="二级目录 Char"/>
    <w:link w:val="374"/>
    <w:qFormat/>
    <w:uiPriority w:val="0"/>
    <w:rPr>
      <w:rFonts w:ascii="Calibri" w:hAnsi="Calibri"/>
      <w:b/>
      <w:sz w:val="30"/>
      <w:szCs w:val="28"/>
    </w:rPr>
  </w:style>
  <w:style w:type="paragraph" w:customStyle="1" w:styleId="374">
    <w:name w:val="二级目录"/>
    <w:next w:val="1"/>
    <w:link w:val="373"/>
    <w:qFormat/>
    <w:uiPriority w:val="0"/>
    <w:pPr>
      <w:numPr>
        <w:ilvl w:val="0"/>
        <w:numId w:val="2"/>
      </w:numPr>
      <w:tabs>
        <w:tab w:val="left" w:pos="1145"/>
      </w:tabs>
      <w:outlineLvl w:val="1"/>
    </w:pPr>
    <w:rPr>
      <w:rFonts w:hint="default" w:ascii="Calibri" w:hAnsi="Calibri" w:eastAsia="宋体" w:cs="Times New Roman"/>
      <w:b/>
      <w:sz w:val="30"/>
      <w:szCs w:val="28"/>
    </w:rPr>
  </w:style>
  <w:style w:type="character" w:customStyle="1" w:styleId="375">
    <w:name w:val="列出段落 Char"/>
    <w:link w:val="346"/>
    <w:qFormat/>
    <w:uiPriority w:val="0"/>
    <w:rPr>
      <w:rFonts w:ascii="Wingdings" w:hAnsi="Wingdings" w:eastAsia="幼圆" w:cs="Miss Sweetie"/>
      <w:sz w:val="21"/>
      <w:szCs w:val="22"/>
    </w:rPr>
  </w:style>
  <w:style w:type="paragraph" w:customStyle="1" w:styleId="376">
    <w:name w:val="Body Text(ch)"/>
    <w:basedOn w:val="1"/>
    <w:next w:val="3"/>
    <w:qFormat/>
    <w:uiPriority w:val="0"/>
    <w:pPr>
      <w:spacing w:after="120"/>
    </w:pPr>
    <w:rPr>
      <w:rFonts w:ascii="宋体" w:hAnsi="Arial"/>
      <w:bCs/>
      <w:iCs/>
    </w:rPr>
  </w:style>
  <w:style w:type="paragraph" w:customStyle="1" w:styleId="37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7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379">
    <w:name w:val="table_lines"/>
    <w:basedOn w:val="1"/>
    <w:qFormat/>
    <w:uiPriority w:val="0"/>
    <w:pPr>
      <w:widowControl/>
      <w:jc w:val="left"/>
    </w:pPr>
    <w:rPr>
      <w:sz w:val="20"/>
      <w:szCs w:val="20"/>
      <w:lang w:val="de-DE" w:eastAsia="de-DE"/>
    </w:rPr>
  </w:style>
  <w:style w:type="paragraph" w:customStyle="1" w:styleId="380">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8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82">
    <w:name w:val="4"/>
    <w:basedOn w:val="1"/>
    <w:next w:val="49"/>
    <w:qFormat/>
    <w:uiPriority w:val="0"/>
    <w:pPr>
      <w:spacing w:line="360" w:lineRule="auto"/>
      <w:ind w:firstLine="420"/>
    </w:pPr>
    <w:rPr>
      <w:color w:val="FF0000"/>
      <w:sz w:val="24"/>
    </w:rPr>
  </w:style>
  <w:style w:type="paragraph" w:customStyle="1" w:styleId="383">
    <w:name w:val="普通 (Web)"/>
    <w:basedOn w:val="1"/>
    <w:qFormat/>
    <w:uiPriority w:val="0"/>
    <w:pPr>
      <w:widowControl/>
      <w:spacing w:before="100" w:beforeAutospacing="1" w:after="100" w:afterAutospacing="1"/>
      <w:jc w:val="left"/>
    </w:pPr>
    <w:rPr>
      <w:rFonts w:ascii="宋体" w:hAnsi="宋体"/>
      <w:sz w:val="24"/>
    </w:rPr>
  </w:style>
  <w:style w:type="paragraph" w:customStyle="1" w:styleId="384">
    <w:name w:val="样式1"/>
    <w:basedOn w:val="1"/>
    <w:qFormat/>
    <w:uiPriority w:val="0"/>
    <w:pPr>
      <w:numPr>
        <w:ilvl w:val="0"/>
        <w:numId w:val="3"/>
      </w:numPr>
    </w:pPr>
    <w:rPr>
      <w:rFonts w:ascii="宋体" w:hAnsi="宋体"/>
      <w:szCs w:val="21"/>
    </w:rPr>
  </w:style>
  <w:style w:type="paragraph" w:customStyle="1" w:styleId="38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8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8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8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39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39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9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94">
    <w:name w:val="table_1stline"/>
    <w:basedOn w:val="1"/>
    <w:qFormat/>
    <w:uiPriority w:val="0"/>
    <w:pPr>
      <w:widowControl/>
      <w:spacing w:before="120"/>
      <w:jc w:val="left"/>
    </w:pPr>
    <w:rPr>
      <w:bCs/>
      <w:sz w:val="20"/>
      <w:szCs w:val="20"/>
      <w:lang w:val="de-DE" w:eastAsia="de-DE"/>
    </w:rPr>
  </w:style>
  <w:style w:type="paragraph" w:customStyle="1" w:styleId="39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96">
    <w:name w:val="p1"/>
    <w:basedOn w:val="1"/>
    <w:qFormat/>
    <w:uiPriority w:val="0"/>
    <w:pPr>
      <w:widowControl/>
    </w:pPr>
    <w:rPr>
      <w:rFonts w:ascii="Helvetica Neue" w:hAnsi="Helvetica Neue"/>
      <w:color w:val="454545"/>
      <w:sz w:val="18"/>
      <w:szCs w:val="18"/>
    </w:rPr>
  </w:style>
  <w:style w:type="paragraph" w:customStyle="1" w:styleId="397">
    <w:name w:val="修订2"/>
    <w:unhideWhenUsed/>
    <w:qFormat/>
    <w:uiPriority w:val="99"/>
    <w:rPr>
      <w:rFonts w:hint="default" w:ascii="Calibri" w:hAnsi="Calibri" w:eastAsia="宋体" w:cs="Times New Roman"/>
      <w:sz w:val="21"/>
      <w:szCs w:val="22"/>
    </w:rPr>
  </w:style>
  <w:style w:type="paragraph" w:customStyle="1" w:styleId="398">
    <w:name w:val="Table Paragraph"/>
    <w:basedOn w:val="1"/>
    <w:qFormat/>
    <w:uiPriority w:val="1"/>
    <w:pPr>
      <w:jc w:val="left"/>
    </w:pPr>
    <w:rPr>
      <w:rFonts w:ascii="宋体" w:hAnsi="宋体" w:cs="宋体"/>
      <w:sz w:val="22"/>
      <w:szCs w:val="22"/>
      <w:lang w:eastAsia="en-US"/>
    </w:rPr>
  </w:style>
  <w:style w:type="paragraph" w:customStyle="1" w:styleId="399">
    <w:name w:val="段"/>
    <w:next w:val="1"/>
    <w:qFormat/>
    <w:uiPriority w:val="0"/>
    <w:pPr>
      <w:ind w:firstLine="200"/>
      <w:jc w:val="both"/>
    </w:pPr>
    <w:rPr>
      <w:rFonts w:hint="default" w:ascii="宋体" w:hAnsi="Times New Roman" w:eastAsia="宋体" w:cs="Times New Roman"/>
      <w:sz w:val="21"/>
    </w:rPr>
  </w:style>
  <w:style w:type="paragraph" w:customStyle="1" w:styleId="400">
    <w:name w:val="BodyText1I21"/>
    <w:basedOn w:val="401"/>
    <w:qFormat/>
    <w:uiPriority w:val="0"/>
    <w:pPr>
      <w:ind w:firstLine="420"/>
    </w:pPr>
  </w:style>
  <w:style w:type="paragraph" w:customStyle="1" w:styleId="401">
    <w:name w:val="BodyTextIndent1"/>
    <w:basedOn w:val="1"/>
    <w:next w:val="402"/>
    <w:qFormat/>
    <w:uiPriority w:val="0"/>
    <w:pPr>
      <w:spacing w:line="520" w:lineRule="exact"/>
      <w:ind w:left="570"/>
    </w:pPr>
    <w:rPr>
      <w:rFonts w:ascii="楷体_GB2312" w:hAnsi="Calibri"/>
      <w:szCs w:val="22"/>
    </w:rPr>
  </w:style>
  <w:style w:type="paragraph" w:customStyle="1" w:styleId="402">
    <w:name w:val="EnvelopeReturn1"/>
    <w:basedOn w:val="1"/>
    <w:qFormat/>
    <w:uiPriority w:val="0"/>
    <w:rPr>
      <w:rFonts w:ascii="Arial" w:hAnsi="Arial"/>
      <w:szCs w:val="22"/>
    </w:rPr>
  </w:style>
  <w:style w:type="paragraph" w:customStyle="1" w:styleId="403">
    <w:name w:val="题注1"/>
    <w:basedOn w:val="1"/>
    <w:next w:val="1"/>
    <w:semiHidden/>
    <w:unhideWhenUsed/>
    <w:qFormat/>
    <w:uiPriority w:val="35"/>
    <w:pPr>
      <w:spacing w:line="276" w:lineRule="auto"/>
    </w:pPr>
    <w:rPr>
      <w:rFonts w:ascii="Calibri" w:hAnsi="Calibri"/>
      <w:b/>
      <w:bCs/>
      <w:color w:val="4F81BD"/>
      <w:sz w:val="18"/>
      <w:szCs w:val="18"/>
    </w:rPr>
  </w:style>
  <w:style w:type="paragraph" w:customStyle="1" w:styleId="404">
    <w:name w:val="正文首行缩进 21"/>
    <w:basedOn w:val="24"/>
    <w:unhideWhenUsed/>
    <w:qFormat/>
    <w:uiPriority w:val="0"/>
    <w:pPr>
      <w:spacing w:after="120"/>
      <w:ind w:left="420" w:firstLine="420"/>
    </w:pPr>
    <w:rPr>
      <w:rFonts w:ascii="Times New Roman" w:eastAsia="宋体"/>
      <w:sz w:val="21"/>
      <w:szCs w:val="22"/>
    </w:rPr>
  </w:style>
  <w:style w:type="character" w:customStyle="1" w:styleId="405">
    <w:name w:val="标题 1 字符1"/>
    <w:qFormat/>
    <w:uiPriority w:val="0"/>
    <w:rPr>
      <w:rFonts w:ascii="Calibri" w:hAnsi="Calibri" w:eastAsia="楷体_GB2312"/>
      <w:b/>
      <w:sz w:val="44"/>
      <w:lang w:eastAsia="en-US"/>
    </w:rPr>
  </w:style>
  <w:style w:type="character" w:customStyle="1" w:styleId="406">
    <w:name w:val="标题 2 字符1"/>
    <w:qFormat/>
    <w:uiPriority w:val="0"/>
    <w:rPr>
      <w:rFonts w:ascii="Cambria" w:hAnsi="Cambria"/>
      <w:b/>
      <w:bCs/>
      <w:sz w:val="32"/>
      <w:szCs w:val="32"/>
      <w:lang w:eastAsia="en-US"/>
    </w:rPr>
  </w:style>
  <w:style w:type="character" w:customStyle="1" w:styleId="407">
    <w:name w:val="标题 4 字符1"/>
    <w:qFormat/>
    <w:uiPriority w:val="0"/>
    <w:rPr>
      <w:rFonts w:ascii="Arial" w:hAnsi="Arial" w:eastAsia="黑体"/>
      <w:b/>
      <w:bCs/>
      <w:sz w:val="28"/>
      <w:szCs w:val="28"/>
      <w:lang w:eastAsia="en-US"/>
    </w:rPr>
  </w:style>
  <w:style w:type="character" w:customStyle="1" w:styleId="408">
    <w:name w:val="标题 3 字符1"/>
    <w:qFormat/>
    <w:uiPriority w:val="99"/>
    <w:rPr>
      <w:rFonts w:ascii="宋体" w:hAnsi="宋体"/>
      <w:b/>
      <w:bCs/>
      <w:sz w:val="27"/>
      <w:szCs w:val="27"/>
      <w:lang w:eastAsia="en-US"/>
    </w:rPr>
  </w:style>
  <w:style w:type="character" w:customStyle="1" w:styleId="409">
    <w:name w:val="标题 5 字符1"/>
    <w:qFormat/>
    <w:uiPriority w:val="0"/>
    <w:rPr>
      <w:rFonts w:ascii="宋体" w:hAnsi="Calibri"/>
      <w:b/>
      <w:spacing w:val="-2"/>
      <w:position w:val="-6"/>
      <w:sz w:val="28"/>
      <w:lang w:eastAsia="en-US"/>
    </w:rPr>
  </w:style>
  <w:style w:type="character" w:customStyle="1" w:styleId="410">
    <w:name w:val="标题 6 字符1"/>
    <w:qFormat/>
    <w:uiPriority w:val="0"/>
    <w:rPr>
      <w:rFonts w:ascii="Arial" w:hAnsi="Arial" w:eastAsia="黑体"/>
      <w:b/>
      <w:spacing w:val="-2"/>
      <w:position w:val="-6"/>
      <w:sz w:val="24"/>
      <w:lang w:eastAsia="en-US"/>
    </w:rPr>
  </w:style>
  <w:style w:type="character" w:customStyle="1" w:styleId="411">
    <w:name w:val="标题 7 字符1"/>
    <w:qFormat/>
    <w:uiPriority w:val="0"/>
    <w:rPr>
      <w:rFonts w:ascii="宋体" w:hAnsi="Calibri"/>
      <w:b/>
      <w:spacing w:val="-2"/>
      <w:position w:val="-6"/>
      <w:sz w:val="24"/>
      <w:lang w:eastAsia="en-US"/>
    </w:rPr>
  </w:style>
  <w:style w:type="character" w:customStyle="1" w:styleId="412">
    <w:name w:val="标题 8 字符1"/>
    <w:qFormat/>
    <w:uiPriority w:val="0"/>
    <w:rPr>
      <w:rFonts w:ascii="Arial" w:hAnsi="Arial" w:eastAsia="黑体"/>
      <w:spacing w:val="-2"/>
      <w:position w:val="-6"/>
      <w:sz w:val="24"/>
      <w:lang w:eastAsia="en-US"/>
    </w:rPr>
  </w:style>
  <w:style w:type="character" w:customStyle="1" w:styleId="413">
    <w:name w:val="标题 9 字符1"/>
    <w:qFormat/>
    <w:uiPriority w:val="0"/>
    <w:rPr>
      <w:rFonts w:ascii="Arial" w:hAnsi="Arial" w:eastAsia="黑体"/>
      <w:spacing w:val="-2"/>
      <w:position w:val="-6"/>
      <w:sz w:val="28"/>
      <w:lang w:eastAsia="en-US"/>
    </w:rPr>
  </w:style>
  <w:style w:type="paragraph" w:customStyle="1" w:styleId="414">
    <w:name w:val="列表段落1"/>
    <w:basedOn w:val="1"/>
    <w:qFormat/>
    <w:uiPriority w:val="34"/>
    <w:pPr>
      <w:ind w:left="720"/>
      <w:contextualSpacing/>
    </w:pPr>
    <w:rPr>
      <w:rFonts w:ascii="Calibri" w:hAnsi="Calibri"/>
      <w:szCs w:val="22"/>
    </w:rPr>
  </w:style>
  <w:style w:type="table" w:customStyle="1" w:styleId="415">
    <w:name w:val="Table Grid Light1"/>
    <w:qFormat/>
    <w:uiPriority w:val="59"/>
    <w:tblPr>
      <w:tblCellMar>
        <w:top w:w="0" w:type="dxa"/>
        <w:left w:w="0" w:type="dxa"/>
        <w:bottom w:w="0" w:type="dxa"/>
        <w:right w:w="0" w:type="dxa"/>
      </w:tblCellMar>
    </w:tblPr>
  </w:style>
  <w:style w:type="table" w:customStyle="1" w:styleId="416">
    <w:name w:val="无格式表格 111"/>
    <w:qFormat/>
    <w:uiPriority w:val="59"/>
    <w:tblPr>
      <w:tblCellMar>
        <w:top w:w="0" w:type="dxa"/>
        <w:left w:w="0" w:type="dxa"/>
        <w:bottom w:w="0" w:type="dxa"/>
        <w:right w:w="0" w:type="dxa"/>
      </w:tblCellMar>
    </w:tblPr>
  </w:style>
  <w:style w:type="table" w:customStyle="1" w:styleId="417">
    <w:name w:val="无格式表格 211"/>
    <w:qFormat/>
    <w:uiPriority w:val="59"/>
    <w:tblPr>
      <w:tblCellMar>
        <w:top w:w="0" w:type="dxa"/>
        <w:left w:w="0" w:type="dxa"/>
        <w:bottom w:w="0" w:type="dxa"/>
        <w:right w:w="0" w:type="dxa"/>
      </w:tblCellMar>
    </w:tblPr>
  </w:style>
  <w:style w:type="table" w:customStyle="1" w:styleId="418">
    <w:name w:val="无格式表格 311"/>
    <w:qFormat/>
    <w:uiPriority w:val="99"/>
    <w:tblPr>
      <w:tblCellMar>
        <w:top w:w="0" w:type="dxa"/>
        <w:left w:w="0" w:type="dxa"/>
        <w:bottom w:w="0" w:type="dxa"/>
        <w:right w:w="0" w:type="dxa"/>
      </w:tblCellMar>
    </w:tblPr>
  </w:style>
  <w:style w:type="table" w:customStyle="1" w:styleId="419">
    <w:name w:val="无格式表格 411"/>
    <w:qFormat/>
    <w:uiPriority w:val="99"/>
    <w:tblPr>
      <w:tblCellMar>
        <w:top w:w="0" w:type="dxa"/>
        <w:left w:w="0" w:type="dxa"/>
        <w:bottom w:w="0" w:type="dxa"/>
        <w:right w:w="0" w:type="dxa"/>
      </w:tblCellMar>
    </w:tblPr>
  </w:style>
  <w:style w:type="table" w:customStyle="1" w:styleId="420">
    <w:name w:val="无格式表格 511"/>
    <w:qFormat/>
    <w:uiPriority w:val="99"/>
    <w:tblPr>
      <w:tblCellMar>
        <w:top w:w="0" w:type="dxa"/>
        <w:left w:w="0" w:type="dxa"/>
        <w:bottom w:w="0" w:type="dxa"/>
        <w:right w:w="0" w:type="dxa"/>
      </w:tblCellMar>
    </w:tblPr>
  </w:style>
  <w:style w:type="table" w:customStyle="1" w:styleId="421">
    <w:name w:val="网格表 1 浅色11"/>
    <w:qFormat/>
    <w:uiPriority w:val="99"/>
    <w:tblPr>
      <w:tblCellMar>
        <w:top w:w="0" w:type="dxa"/>
        <w:left w:w="0" w:type="dxa"/>
        <w:bottom w:w="0" w:type="dxa"/>
        <w:right w:w="0" w:type="dxa"/>
      </w:tblCellMar>
    </w:tblPr>
  </w:style>
  <w:style w:type="table" w:customStyle="1" w:styleId="422">
    <w:name w:val="Grid Table 1 Light - Accent 11"/>
    <w:qFormat/>
    <w:uiPriority w:val="99"/>
    <w:tblPr>
      <w:tblCellMar>
        <w:top w:w="0" w:type="dxa"/>
        <w:left w:w="0" w:type="dxa"/>
        <w:bottom w:w="0" w:type="dxa"/>
        <w:right w:w="0" w:type="dxa"/>
      </w:tblCellMar>
    </w:tblPr>
  </w:style>
  <w:style w:type="table" w:customStyle="1" w:styleId="423">
    <w:name w:val="Grid Table 1 Light - Accent 21"/>
    <w:qFormat/>
    <w:uiPriority w:val="99"/>
    <w:tblPr>
      <w:tblCellMar>
        <w:top w:w="0" w:type="dxa"/>
        <w:left w:w="0" w:type="dxa"/>
        <w:bottom w:w="0" w:type="dxa"/>
        <w:right w:w="0" w:type="dxa"/>
      </w:tblCellMar>
    </w:tblPr>
  </w:style>
  <w:style w:type="table" w:customStyle="1" w:styleId="424">
    <w:name w:val="Grid Table 1 Light - Accent 31"/>
    <w:qFormat/>
    <w:uiPriority w:val="99"/>
    <w:tblPr>
      <w:tblCellMar>
        <w:top w:w="0" w:type="dxa"/>
        <w:left w:w="0" w:type="dxa"/>
        <w:bottom w:w="0" w:type="dxa"/>
        <w:right w:w="0" w:type="dxa"/>
      </w:tblCellMar>
    </w:tblPr>
  </w:style>
  <w:style w:type="table" w:customStyle="1" w:styleId="425">
    <w:name w:val="Grid Table 1 Light - Accent 41"/>
    <w:qFormat/>
    <w:uiPriority w:val="99"/>
    <w:tblPr>
      <w:tblCellMar>
        <w:top w:w="0" w:type="dxa"/>
        <w:left w:w="0" w:type="dxa"/>
        <w:bottom w:w="0" w:type="dxa"/>
        <w:right w:w="0" w:type="dxa"/>
      </w:tblCellMar>
    </w:tblPr>
  </w:style>
  <w:style w:type="table" w:customStyle="1" w:styleId="426">
    <w:name w:val="Grid Table 1 Light - Accent 51"/>
    <w:qFormat/>
    <w:uiPriority w:val="99"/>
    <w:tblPr>
      <w:tblCellMar>
        <w:top w:w="0" w:type="dxa"/>
        <w:left w:w="0" w:type="dxa"/>
        <w:bottom w:w="0" w:type="dxa"/>
        <w:right w:w="0" w:type="dxa"/>
      </w:tblCellMar>
    </w:tblPr>
  </w:style>
  <w:style w:type="table" w:customStyle="1" w:styleId="427">
    <w:name w:val="Grid Table 1 Light - Accent 61"/>
    <w:qFormat/>
    <w:uiPriority w:val="99"/>
    <w:tblPr>
      <w:tblCellMar>
        <w:top w:w="0" w:type="dxa"/>
        <w:left w:w="0" w:type="dxa"/>
        <w:bottom w:w="0" w:type="dxa"/>
        <w:right w:w="0" w:type="dxa"/>
      </w:tblCellMar>
    </w:tblPr>
  </w:style>
  <w:style w:type="table" w:customStyle="1" w:styleId="428">
    <w:name w:val="网格表 211"/>
    <w:qFormat/>
    <w:uiPriority w:val="99"/>
    <w:tblPr>
      <w:tblCellMar>
        <w:top w:w="0" w:type="dxa"/>
        <w:left w:w="0" w:type="dxa"/>
        <w:bottom w:w="0" w:type="dxa"/>
        <w:right w:w="0" w:type="dxa"/>
      </w:tblCellMar>
    </w:tblPr>
  </w:style>
  <w:style w:type="table" w:customStyle="1" w:styleId="429">
    <w:name w:val="Grid Table 2 - Accent 11"/>
    <w:qFormat/>
    <w:uiPriority w:val="99"/>
    <w:tblPr>
      <w:tblCellMar>
        <w:top w:w="0" w:type="dxa"/>
        <w:left w:w="0" w:type="dxa"/>
        <w:bottom w:w="0" w:type="dxa"/>
        <w:right w:w="0" w:type="dxa"/>
      </w:tblCellMar>
    </w:tblPr>
  </w:style>
  <w:style w:type="table" w:customStyle="1" w:styleId="430">
    <w:name w:val="Grid Table 2 - Accent 21"/>
    <w:qFormat/>
    <w:uiPriority w:val="99"/>
    <w:tblPr>
      <w:tblCellMar>
        <w:top w:w="0" w:type="dxa"/>
        <w:left w:w="0" w:type="dxa"/>
        <w:bottom w:w="0" w:type="dxa"/>
        <w:right w:w="0" w:type="dxa"/>
      </w:tblCellMar>
    </w:tblPr>
  </w:style>
  <w:style w:type="table" w:customStyle="1" w:styleId="431">
    <w:name w:val="Grid Table 2 - Accent 31"/>
    <w:qFormat/>
    <w:uiPriority w:val="99"/>
    <w:tblPr>
      <w:tblCellMar>
        <w:top w:w="0" w:type="dxa"/>
        <w:left w:w="0" w:type="dxa"/>
        <w:bottom w:w="0" w:type="dxa"/>
        <w:right w:w="0" w:type="dxa"/>
      </w:tblCellMar>
    </w:tblPr>
  </w:style>
  <w:style w:type="table" w:customStyle="1" w:styleId="432">
    <w:name w:val="Grid Table 2 - Accent 41"/>
    <w:qFormat/>
    <w:uiPriority w:val="99"/>
    <w:tblPr>
      <w:tblCellMar>
        <w:top w:w="0" w:type="dxa"/>
        <w:left w:w="0" w:type="dxa"/>
        <w:bottom w:w="0" w:type="dxa"/>
        <w:right w:w="0" w:type="dxa"/>
      </w:tblCellMar>
    </w:tblPr>
  </w:style>
  <w:style w:type="table" w:customStyle="1" w:styleId="433">
    <w:name w:val="Grid Table 2 - Accent 51"/>
    <w:qFormat/>
    <w:uiPriority w:val="99"/>
    <w:tblPr>
      <w:tblCellMar>
        <w:top w:w="0" w:type="dxa"/>
        <w:left w:w="0" w:type="dxa"/>
        <w:bottom w:w="0" w:type="dxa"/>
        <w:right w:w="0" w:type="dxa"/>
      </w:tblCellMar>
    </w:tblPr>
  </w:style>
  <w:style w:type="table" w:customStyle="1" w:styleId="434">
    <w:name w:val="Grid Table 2 - Accent 61"/>
    <w:qFormat/>
    <w:uiPriority w:val="99"/>
    <w:tblPr>
      <w:tblCellMar>
        <w:top w:w="0" w:type="dxa"/>
        <w:left w:w="0" w:type="dxa"/>
        <w:bottom w:w="0" w:type="dxa"/>
        <w:right w:w="0" w:type="dxa"/>
      </w:tblCellMar>
    </w:tblPr>
  </w:style>
  <w:style w:type="table" w:customStyle="1" w:styleId="435">
    <w:name w:val="网格表 311"/>
    <w:qFormat/>
    <w:uiPriority w:val="99"/>
    <w:tblPr>
      <w:tblCellMar>
        <w:top w:w="0" w:type="dxa"/>
        <w:left w:w="0" w:type="dxa"/>
        <w:bottom w:w="0" w:type="dxa"/>
        <w:right w:w="0" w:type="dxa"/>
      </w:tblCellMar>
    </w:tblPr>
  </w:style>
  <w:style w:type="table" w:customStyle="1" w:styleId="436">
    <w:name w:val="Grid Table 3 - Accent 11"/>
    <w:qFormat/>
    <w:uiPriority w:val="99"/>
    <w:tblPr>
      <w:tblCellMar>
        <w:top w:w="0" w:type="dxa"/>
        <w:left w:w="0" w:type="dxa"/>
        <w:bottom w:w="0" w:type="dxa"/>
        <w:right w:w="0" w:type="dxa"/>
      </w:tblCellMar>
    </w:tblPr>
  </w:style>
  <w:style w:type="table" w:customStyle="1" w:styleId="437">
    <w:name w:val="Grid Table 3 - Accent 21"/>
    <w:qFormat/>
    <w:uiPriority w:val="99"/>
    <w:tblPr>
      <w:tblCellMar>
        <w:top w:w="0" w:type="dxa"/>
        <w:left w:w="0" w:type="dxa"/>
        <w:bottom w:w="0" w:type="dxa"/>
        <w:right w:w="0" w:type="dxa"/>
      </w:tblCellMar>
    </w:tblPr>
  </w:style>
  <w:style w:type="table" w:customStyle="1" w:styleId="438">
    <w:name w:val="Grid Table 3 - Accent 31"/>
    <w:qFormat/>
    <w:uiPriority w:val="99"/>
    <w:tblPr>
      <w:tblCellMar>
        <w:top w:w="0" w:type="dxa"/>
        <w:left w:w="0" w:type="dxa"/>
        <w:bottom w:w="0" w:type="dxa"/>
        <w:right w:w="0" w:type="dxa"/>
      </w:tblCellMar>
    </w:tblPr>
  </w:style>
  <w:style w:type="table" w:customStyle="1" w:styleId="439">
    <w:name w:val="Grid Table 3 - Accent 41"/>
    <w:qFormat/>
    <w:uiPriority w:val="99"/>
    <w:tblPr>
      <w:tblCellMar>
        <w:top w:w="0" w:type="dxa"/>
        <w:left w:w="0" w:type="dxa"/>
        <w:bottom w:w="0" w:type="dxa"/>
        <w:right w:w="0" w:type="dxa"/>
      </w:tblCellMar>
    </w:tblPr>
  </w:style>
  <w:style w:type="table" w:customStyle="1" w:styleId="440">
    <w:name w:val="Grid Table 3 - Accent 51"/>
    <w:qFormat/>
    <w:uiPriority w:val="99"/>
    <w:tblPr>
      <w:tblCellMar>
        <w:top w:w="0" w:type="dxa"/>
        <w:left w:w="0" w:type="dxa"/>
        <w:bottom w:w="0" w:type="dxa"/>
        <w:right w:w="0" w:type="dxa"/>
      </w:tblCellMar>
    </w:tblPr>
  </w:style>
  <w:style w:type="table" w:customStyle="1" w:styleId="441">
    <w:name w:val="Grid Table 3 - Accent 61"/>
    <w:qFormat/>
    <w:uiPriority w:val="99"/>
    <w:tblPr>
      <w:tblCellMar>
        <w:top w:w="0" w:type="dxa"/>
        <w:left w:w="0" w:type="dxa"/>
        <w:bottom w:w="0" w:type="dxa"/>
        <w:right w:w="0" w:type="dxa"/>
      </w:tblCellMar>
    </w:tblPr>
  </w:style>
  <w:style w:type="table" w:customStyle="1" w:styleId="442">
    <w:name w:val="网格表 411"/>
    <w:qFormat/>
    <w:uiPriority w:val="59"/>
    <w:tblPr>
      <w:tblCellMar>
        <w:top w:w="0" w:type="dxa"/>
        <w:left w:w="0" w:type="dxa"/>
        <w:bottom w:w="0" w:type="dxa"/>
        <w:right w:w="0" w:type="dxa"/>
      </w:tblCellMar>
    </w:tblPr>
  </w:style>
  <w:style w:type="table" w:customStyle="1" w:styleId="443">
    <w:name w:val="Grid Table 4 - Accent 11"/>
    <w:qFormat/>
    <w:uiPriority w:val="59"/>
    <w:tblPr>
      <w:tblCellMar>
        <w:top w:w="0" w:type="dxa"/>
        <w:left w:w="0" w:type="dxa"/>
        <w:bottom w:w="0" w:type="dxa"/>
        <w:right w:w="0" w:type="dxa"/>
      </w:tblCellMar>
    </w:tblPr>
  </w:style>
  <w:style w:type="table" w:customStyle="1" w:styleId="444">
    <w:name w:val="Grid Table 4 - Accent 21"/>
    <w:qFormat/>
    <w:uiPriority w:val="59"/>
    <w:tblPr>
      <w:tblCellMar>
        <w:top w:w="0" w:type="dxa"/>
        <w:left w:w="0" w:type="dxa"/>
        <w:bottom w:w="0" w:type="dxa"/>
        <w:right w:w="0" w:type="dxa"/>
      </w:tblCellMar>
    </w:tblPr>
  </w:style>
  <w:style w:type="table" w:customStyle="1" w:styleId="445">
    <w:name w:val="Grid Table 4 - Accent 31"/>
    <w:qFormat/>
    <w:uiPriority w:val="59"/>
    <w:tblPr>
      <w:tblCellMar>
        <w:top w:w="0" w:type="dxa"/>
        <w:left w:w="0" w:type="dxa"/>
        <w:bottom w:w="0" w:type="dxa"/>
        <w:right w:w="0" w:type="dxa"/>
      </w:tblCellMar>
    </w:tblPr>
  </w:style>
  <w:style w:type="table" w:customStyle="1" w:styleId="446">
    <w:name w:val="Grid Table 4 - Accent 41"/>
    <w:qFormat/>
    <w:uiPriority w:val="59"/>
    <w:tblPr>
      <w:tblCellMar>
        <w:top w:w="0" w:type="dxa"/>
        <w:left w:w="0" w:type="dxa"/>
        <w:bottom w:w="0" w:type="dxa"/>
        <w:right w:w="0" w:type="dxa"/>
      </w:tblCellMar>
    </w:tblPr>
  </w:style>
  <w:style w:type="table" w:customStyle="1" w:styleId="447">
    <w:name w:val="Grid Table 4 - Accent 51"/>
    <w:qFormat/>
    <w:uiPriority w:val="59"/>
    <w:tblPr>
      <w:tblCellMar>
        <w:top w:w="0" w:type="dxa"/>
        <w:left w:w="0" w:type="dxa"/>
        <w:bottom w:w="0" w:type="dxa"/>
        <w:right w:w="0" w:type="dxa"/>
      </w:tblCellMar>
    </w:tblPr>
  </w:style>
  <w:style w:type="table" w:customStyle="1" w:styleId="448">
    <w:name w:val="Grid Table 4 - Accent 61"/>
    <w:qFormat/>
    <w:uiPriority w:val="59"/>
    <w:tblPr>
      <w:tblCellMar>
        <w:top w:w="0" w:type="dxa"/>
        <w:left w:w="0" w:type="dxa"/>
        <w:bottom w:w="0" w:type="dxa"/>
        <w:right w:w="0" w:type="dxa"/>
      </w:tblCellMar>
    </w:tblPr>
  </w:style>
  <w:style w:type="table" w:customStyle="1" w:styleId="449">
    <w:name w:val="网格表 5 深色11"/>
    <w:qFormat/>
    <w:uiPriority w:val="99"/>
    <w:tblPr>
      <w:tblCellMar>
        <w:top w:w="0" w:type="dxa"/>
        <w:left w:w="0" w:type="dxa"/>
        <w:bottom w:w="0" w:type="dxa"/>
        <w:right w:w="0" w:type="dxa"/>
      </w:tblCellMar>
    </w:tblPr>
  </w:style>
  <w:style w:type="table" w:customStyle="1" w:styleId="450">
    <w:name w:val="Grid Table 5 Dark- Accent 11"/>
    <w:qFormat/>
    <w:uiPriority w:val="99"/>
    <w:tblPr>
      <w:tblCellMar>
        <w:top w:w="0" w:type="dxa"/>
        <w:left w:w="0" w:type="dxa"/>
        <w:bottom w:w="0" w:type="dxa"/>
        <w:right w:w="0" w:type="dxa"/>
      </w:tblCellMar>
    </w:tblPr>
  </w:style>
  <w:style w:type="table" w:customStyle="1" w:styleId="451">
    <w:name w:val="Grid Table 5 Dark - Accent 21"/>
    <w:qFormat/>
    <w:uiPriority w:val="99"/>
    <w:tblPr>
      <w:tblCellMar>
        <w:top w:w="0" w:type="dxa"/>
        <w:left w:w="0" w:type="dxa"/>
        <w:bottom w:w="0" w:type="dxa"/>
        <w:right w:w="0" w:type="dxa"/>
      </w:tblCellMar>
    </w:tblPr>
  </w:style>
  <w:style w:type="table" w:customStyle="1" w:styleId="452">
    <w:name w:val="Grid Table 5 Dark - Accent 31"/>
    <w:qFormat/>
    <w:uiPriority w:val="99"/>
    <w:tblPr>
      <w:tblCellMar>
        <w:top w:w="0" w:type="dxa"/>
        <w:left w:w="0" w:type="dxa"/>
        <w:bottom w:w="0" w:type="dxa"/>
        <w:right w:w="0" w:type="dxa"/>
      </w:tblCellMar>
    </w:tblPr>
  </w:style>
  <w:style w:type="table" w:customStyle="1" w:styleId="453">
    <w:name w:val="Grid Table 5 Dark- Accent 41"/>
    <w:qFormat/>
    <w:uiPriority w:val="99"/>
    <w:tblPr>
      <w:tblCellMar>
        <w:top w:w="0" w:type="dxa"/>
        <w:left w:w="0" w:type="dxa"/>
        <w:bottom w:w="0" w:type="dxa"/>
        <w:right w:w="0" w:type="dxa"/>
      </w:tblCellMar>
    </w:tblPr>
  </w:style>
  <w:style w:type="table" w:customStyle="1" w:styleId="454">
    <w:name w:val="Grid Table 5 Dark - Accent 51"/>
    <w:qFormat/>
    <w:uiPriority w:val="99"/>
    <w:tblPr>
      <w:tblCellMar>
        <w:top w:w="0" w:type="dxa"/>
        <w:left w:w="0" w:type="dxa"/>
        <w:bottom w:w="0" w:type="dxa"/>
        <w:right w:w="0" w:type="dxa"/>
      </w:tblCellMar>
    </w:tblPr>
  </w:style>
  <w:style w:type="table" w:customStyle="1" w:styleId="455">
    <w:name w:val="Grid Table 5 Dark - Accent 61"/>
    <w:qFormat/>
    <w:uiPriority w:val="99"/>
    <w:tblPr>
      <w:tblCellMar>
        <w:top w:w="0" w:type="dxa"/>
        <w:left w:w="0" w:type="dxa"/>
        <w:bottom w:w="0" w:type="dxa"/>
        <w:right w:w="0" w:type="dxa"/>
      </w:tblCellMar>
    </w:tblPr>
  </w:style>
  <w:style w:type="table" w:customStyle="1" w:styleId="456">
    <w:name w:val="网格表 6 彩色11"/>
    <w:qFormat/>
    <w:uiPriority w:val="99"/>
    <w:tblPr>
      <w:tblCellMar>
        <w:top w:w="0" w:type="dxa"/>
        <w:left w:w="0" w:type="dxa"/>
        <w:bottom w:w="0" w:type="dxa"/>
        <w:right w:w="0" w:type="dxa"/>
      </w:tblCellMar>
    </w:tblPr>
  </w:style>
  <w:style w:type="table" w:customStyle="1" w:styleId="457">
    <w:name w:val="Grid Table 6 Colorful - Accent 11"/>
    <w:qFormat/>
    <w:uiPriority w:val="99"/>
    <w:tblPr>
      <w:tblCellMar>
        <w:top w:w="0" w:type="dxa"/>
        <w:left w:w="0" w:type="dxa"/>
        <w:bottom w:w="0" w:type="dxa"/>
        <w:right w:w="0" w:type="dxa"/>
      </w:tblCellMar>
    </w:tblPr>
  </w:style>
  <w:style w:type="table" w:customStyle="1" w:styleId="458">
    <w:name w:val="Grid Table 6 Colorful - Accent 21"/>
    <w:qFormat/>
    <w:uiPriority w:val="99"/>
    <w:tblPr>
      <w:tblCellMar>
        <w:top w:w="0" w:type="dxa"/>
        <w:left w:w="0" w:type="dxa"/>
        <w:bottom w:w="0" w:type="dxa"/>
        <w:right w:w="0" w:type="dxa"/>
      </w:tblCellMar>
    </w:tblPr>
  </w:style>
  <w:style w:type="table" w:customStyle="1" w:styleId="459">
    <w:name w:val="Grid Table 6 Colorful - Accent 31"/>
    <w:qFormat/>
    <w:uiPriority w:val="99"/>
    <w:tblPr>
      <w:tblCellMar>
        <w:top w:w="0" w:type="dxa"/>
        <w:left w:w="0" w:type="dxa"/>
        <w:bottom w:w="0" w:type="dxa"/>
        <w:right w:w="0" w:type="dxa"/>
      </w:tblCellMar>
    </w:tblPr>
  </w:style>
  <w:style w:type="table" w:customStyle="1" w:styleId="460">
    <w:name w:val="Grid Table 6 Colorful - Accent 41"/>
    <w:qFormat/>
    <w:uiPriority w:val="99"/>
    <w:tblPr>
      <w:tblCellMar>
        <w:top w:w="0" w:type="dxa"/>
        <w:left w:w="0" w:type="dxa"/>
        <w:bottom w:w="0" w:type="dxa"/>
        <w:right w:w="0" w:type="dxa"/>
      </w:tblCellMar>
    </w:tblPr>
  </w:style>
  <w:style w:type="table" w:customStyle="1" w:styleId="461">
    <w:name w:val="Grid Table 6 Colorful - Accent 51"/>
    <w:qFormat/>
    <w:uiPriority w:val="99"/>
    <w:tblPr>
      <w:tblCellMar>
        <w:top w:w="0" w:type="dxa"/>
        <w:left w:w="0" w:type="dxa"/>
        <w:bottom w:w="0" w:type="dxa"/>
        <w:right w:w="0" w:type="dxa"/>
      </w:tblCellMar>
    </w:tblPr>
  </w:style>
  <w:style w:type="table" w:customStyle="1" w:styleId="462">
    <w:name w:val="Grid Table 6 Colorful - Accent 61"/>
    <w:qFormat/>
    <w:uiPriority w:val="99"/>
    <w:tblPr>
      <w:tblCellMar>
        <w:top w:w="0" w:type="dxa"/>
        <w:left w:w="0" w:type="dxa"/>
        <w:bottom w:w="0" w:type="dxa"/>
        <w:right w:w="0" w:type="dxa"/>
      </w:tblCellMar>
    </w:tblPr>
  </w:style>
  <w:style w:type="table" w:customStyle="1" w:styleId="463">
    <w:name w:val="网格表 7 彩色11"/>
    <w:qFormat/>
    <w:uiPriority w:val="99"/>
    <w:tblPr>
      <w:tblCellMar>
        <w:top w:w="0" w:type="dxa"/>
        <w:left w:w="0" w:type="dxa"/>
        <w:bottom w:w="0" w:type="dxa"/>
        <w:right w:w="0" w:type="dxa"/>
      </w:tblCellMar>
    </w:tblPr>
  </w:style>
  <w:style w:type="table" w:customStyle="1" w:styleId="464">
    <w:name w:val="Grid Table 7 Colorful - Accent 11"/>
    <w:qFormat/>
    <w:uiPriority w:val="99"/>
    <w:tblPr>
      <w:tblCellMar>
        <w:top w:w="0" w:type="dxa"/>
        <w:left w:w="0" w:type="dxa"/>
        <w:bottom w:w="0" w:type="dxa"/>
        <w:right w:w="0" w:type="dxa"/>
      </w:tblCellMar>
    </w:tblPr>
  </w:style>
  <w:style w:type="table" w:customStyle="1" w:styleId="465">
    <w:name w:val="Grid Table 7 Colorful - Accent 21"/>
    <w:qFormat/>
    <w:uiPriority w:val="99"/>
    <w:tblPr>
      <w:tblCellMar>
        <w:top w:w="0" w:type="dxa"/>
        <w:left w:w="0" w:type="dxa"/>
        <w:bottom w:w="0" w:type="dxa"/>
        <w:right w:w="0" w:type="dxa"/>
      </w:tblCellMar>
    </w:tblPr>
  </w:style>
  <w:style w:type="table" w:customStyle="1" w:styleId="466">
    <w:name w:val="Grid Table 7 Colorful - Accent 31"/>
    <w:qFormat/>
    <w:uiPriority w:val="99"/>
    <w:tblPr>
      <w:tblCellMar>
        <w:top w:w="0" w:type="dxa"/>
        <w:left w:w="0" w:type="dxa"/>
        <w:bottom w:w="0" w:type="dxa"/>
        <w:right w:w="0" w:type="dxa"/>
      </w:tblCellMar>
    </w:tblPr>
  </w:style>
  <w:style w:type="table" w:customStyle="1" w:styleId="467">
    <w:name w:val="Grid Table 7 Colorful - Accent 41"/>
    <w:qFormat/>
    <w:uiPriority w:val="99"/>
    <w:tblPr>
      <w:tblCellMar>
        <w:top w:w="0" w:type="dxa"/>
        <w:left w:w="0" w:type="dxa"/>
        <w:bottom w:w="0" w:type="dxa"/>
        <w:right w:w="0" w:type="dxa"/>
      </w:tblCellMar>
    </w:tblPr>
  </w:style>
  <w:style w:type="table" w:customStyle="1" w:styleId="468">
    <w:name w:val="Grid Table 7 Colorful - Accent 51"/>
    <w:qFormat/>
    <w:uiPriority w:val="99"/>
    <w:tblPr>
      <w:tblCellMar>
        <w:top w:w="0" w:type="dxa"/>
        <w:left w:w="0" w:type="dxa"/>
        <w:bottom w:w="0" w:type="dxa"/>
        <w:right w:w="0" w:type="dxa"/>
      </w:tblCellMar>
    </w:tblPr>
  </w:style>
  <w:style w:type="table" w:customStyle="1" w:styleId="469">
    <w:name w:val="Grid Table 7 Colorful - Accent 61"/>
    <w:qFormat/>
    <w:uiPriority w:val="99"/>
    <w:tblPr>
      <w:tblCellMar>
        <w:top w:w="0" w:type="dxa"/>
        <w:left w:w="0" w:type="dxa"/>
        <w:bottom w:w="0" w:type="dxa"/>
        <w:right w:w="0" w:type="dxa"/>
      </w:tblCellMar>
    </w:tblPr>
  </w:style>
  <w:style w:type="table" w:customStyle="1" w:styleId="470">
    <w:name w:val="清单表 1 浅色11"/>
    <w:qFormat/>
    <w:uiPriority w:val="99"/>
    <w:tblPr>
      <w:tblCellMar>
        <w:top w:w="0" w:type="dxa"/>
        <w:left w:w="0" w:type="dxa"/>
        <w:bottom w:w="0" w:type="dxa"/>
        <w:right w:w="0" w:type="dxa"/>
      </w:tblCellMar>
    </w:tblPr>
  </w:style>
  <w:style w:type="table" w:customStyle="1" w:styleId="471">
    <w:name w:val="List Table 1 Light - Accent 11"/>
    <w:qFormat/>
    <w:uiPriority w:val="99"/>
    <w:tblPr>
      <w:tblCellMar>
        <w:top w:w="0" w:type="dxa"/>
        <w:left w:w="0" w:type="dxa"/>
        <w:bottom w:w="0" w:type="dxa"/>
        <w:right w:w="0" w:type="dxa"/>
      </w:tblCellMar>
    </w:tblPr>
  </w:style>
  <w:style w:type="table" w:customStyle="1" w:styleId="472">
    <w:name w:val="List Table 1 Light - Accent 21"/>
    <w:qFormat/>
    <w:uiPriority w:val="99"/>
    <w:tblPr>
      <w:tblCellMar>
        <w:top w:w="0" w:type="dxa"/>
        <w:left w:w="0" w:type="dxa"/>
        <w:bottom w:w="0" w:type="dxa"/>
        <w:right w:w="0" w:type="dxa"/>
      </w:tblCellMar>
    </w:tblPr>
  </w:style>
  <w:style w:type="table" w:customStyle="1" w:styleId="473">
    <w:name w:val="List Table 1 Light - Accent 31"/>
    <w:qFormat/>
    <w:uiPriority w:val="99"/>
    <w:tblPr>
      <w:tblCellMar>
        <w:top w:w="0" w:type="dxa"/>
        <w:left w:w="0" w:type="dxa"/>
        <w:bottom w:w="0" w:type="dxa"/>
        <w:right w:w="0" w:type="dxa"/>
      </w:tblCellMar>
    </w:tblPr>
  </w:style>
  <w:style w:type="table" w:customStyle="1" w:styleId="474">
    <w:name w:val="List Table 1 Light - Accent 41"/>
    <w:qFormat/>
    <w:uiPriority w:val="99"/>
    <w:tblPr>
      <w:tblCellMar>
        <w:top w:w="0" w:type="dxa"/>
        <w:left w:w="0" w:type="dxa"/>
        <w:bottom w:w="0" w:type="dxa"/>
        <w:right w:w="0" w:type="dxa"/>
      </w:tblCellMar>
    </w:tblPr>
  </w:style>
  <w:style w:type="table" w:customStyle="1" w:styleId="475">
    <w:name w:val="List Table 1 Light - Accent 51"/>
    <w:qFormat/>
    <w:uiPriority w:val="99"/>
    <w:tblPr>
      <w:tblCellMar>
        <w:top w:w="0" w:type="dxa"/>
        <w:left w:w="0" w:type="dxa"/>
        <w:bottom w:w="0" w:type="dxa"/>
        <w:right w:w="0" w:type="dxa"/>
      </w:tblCellMar>
    </w:tblPr>
  </w:style>
  <w:style w:type="table" w:customStyle="1" w:styleId="476">
    <w:name w:val="List Table 1 Light - Accent 61"/>
    <w:qFormat/>
    <w:uiPriority w:val="99"/>
    <w:tblPr>
      <w:tblCellMar>
        <w:top w:w="0" w:type="dxa"/>
        <w:left w:w="0" w:type="dxa"/>
        <w:bottom w:w="0" w:type="dxa"/>
        <w:right w:w="0" w:type="dxa"/>
      </w:tblCellMar>
    </w:tblPr>
  </w:style>
  <w:style w:type="table" w:customStyle="1" w:styleId="477">
    <w:name w:val="清单表 211"/>
    <w:qFormat/>
    <w:uiPriority w:val="99"/>
    <w:tblPr>
      <w:tblCellMar>
        <w:top w:w="0" w:type="dxa"/>
        <w:left w:w="0" w:type="dxa"/>
        <w:bottom w:w="0" w:type="dxa"/>
        <w:right w:w="0" w:type="dxa"/>
      </w:tblCellMar>
    </w:tblPr>
  </w:style>
  <w:style w:type="table" w:customStyle="1" w:styleId="478">
    <w:name w:val="List Table 2 - Accent 11"/>
    <w:qFormat/>
    <w:uiPriority w:val="99"/>
    <w:tblPr>
      <w:tblCellMar>
        <w:top w:w="0" w:type="dxa"/>
        <w:left w:w="0" w:type="dxa"/>
        <w:bottom w:w="0" w:type="dxa"/>
        <w:right w:w="0" w:type="dxa"/>
      </w:tblCellMar>
    </w:tblPr>
  </w:style>
  <w:style w:type="table" w:customStyle="1" w:styleId="479">
    <w:name w:val="List Table 2 - Accent 21"/>
    <w:qFormat/>
    <w:uiPriority w:val="99"/>
    <w:tblPr>
      <w:tblCellMar>
        <w:top w:w="0" w:type="dxa"/>
        <w:left w:w="0" w:type="dxa"/>
        <w:bottom w:w="0" w:type="dxa"/>
        <w:right w:w="0" w:type="dxa"/>
      </w:tblCellMar>
    </w:tblPr>
  </w:style>
  <w:style w:type="table" w:customStyle="1" w:styleId="480">
    <w:name w:val="List Table 2 - Accent 31"/>
    <w:qFormat/>
    <w:uiPriority w:val="99"/>
    <w:tblPr>
      <w:tblCellMar>
        <w:top w:w="0" w:type="dxa"/>
        <w:left w:w="0" w:type="dxa"/>
        <w:bottom w:w="0" w:type="dxa"/>
        <w:right w:w="0" w:type="dxa"/>
      </w:tblCellMar>
    </w:tblPr>
  </w:style>
  <w:style w:type="table" w:customStyle="1" w:styleId="481">
    <w:name w:val="List Table 2 - Accent 41"/>
    <w:qFormat/>
    <w:uiPriority w:val="99"/>
    <w:tblPr>
      <w:tblCellMar>
        <w:top w:w="0" w:type="dxa"/>
        <w:left w:w="0" w:type="dxa"/>
        <w:bottom w:w="0" w:type="dxa"/>
        <w:right w:w="0" w:type="dxa"/>
      </w:tblCellMar>
    </w:tblPr>
  </w:style>
  <w:style w:type="table" w:customStyle="1" w:styleId="482">
    <w:name w:val="List Table 2 - Accent 51"/>
    <w:qFormat/>
    <w:uiPriority w:val="99"/>
    <w:tblPr>
      <w:tblCellMar>
        <w:top w:w="0" w:type="dxa"/>
        <w:left w:w="0" w:type="dxa"/>
        <w:bottom w:w="0" w:type="dxa"/>
        <w:right w:w="0" w:type="dxa"/>
      </w:tblCellMar>
    </w:tblPr>
  </w:style>
  <w:style w:type="table" w:customStyle="1" w:styleId="483">
    <w:name w:val="List Table 2 - Accent 61"/>
    <w:qFormat/>
    <w:uiPriority w:val="99"/>
    <w:tblPr>
      <w:tblCellMar>
        <w:top w:w="0" w:type="dxa"/>
        <w:left w:w="0" w:type="dxa"/>
        <w:bottom w:w="0" w:type="dxa"/>
        <w:right w:w="0" w:type="dxa"/>
      </w:tblCellMar>
    </w:tblPr>
  </w:style>
  <w:style w:type="table" w:customStyle="1" w:styleId="484">
    <w:name w:val="清单表 311"/>
    <w:qFormat/>
    <w:uiPriority w:val="99"/>
    <w:tblPr>
      <w:tblCellMar>
        <w:top w:w="0" w:type="dxa"/>
        <w:left w:w="0" w:type="dxa"/>
        <w:bottom w:w="0" w:type="dxa"/>
        <w:right w:w="0" w:type="dxa"/>
      </w:tblCellMar>
    </w:tblPr>
  </w:style>
  <w:style w:type="table" w:customStyle="1" w:styleId="485">
    <w:name w:val="List Table 3 - Accent 11"/>
    <w:qFormat/>
    <w:uiPriority w:val="99"/>
    <w:tblPr>
      <w:tblCellMar>
        <w:top w:w="0" w:type="dxa"/>
        <w:left w:w="0" w:type="dxa"/>
        <w:bottom w:w="0" w:type="dxa"/>
        <w:right w:w="0" w:type="dxa"/>
      </w:tblCellMar>
    </w:tblPr>
  </w:style>
  <w:style w:type="table" w:customStyle="1" w:styleId="486">
    <w:name w:val="List Table 3 - Accent 21"/>
    <w:qFormat/>
    <w:uiPriority w:val="99"/>
    <w:tblPr>
      <w:tblCellMar>
        <w:top w:w="0" w:type="dxa"/>
        <w:left w:w="0" w:type="dxa"/>
        <w:bottom w:w="0" w:type="dxa"/>
        <w:right w:w="0" w:type="dxa"/>
      </w:tblCellMar>
    </w:tblPr>
  </w:style>
  <w:style w:type="table" w:customStyle="1" w:styleId="487">
    <w:name w:val="List Table 3 - Accent 31"/>
    <w:qFormat/>
    <w:uiPriority w:val="99"/>
    <w:tblPr>
      <w:tblCellMar>
        <w:top w:w="0" w:type="dxa"/>
        <w:left w:w="0" w:type="dxa"/>
        <w:bottom w:w="0" w:type="dxa"/>
        <w:right w:w="0" w:type="dxa"/>
      </w:tblCellMar>
    </w:tblPr>
  </w:style>
  <w:style w:type="table" w:customStyle="1" w:styleId="488">
    <w:name w:val="List Table 3 - Accent 41"/>
    <w:qFormat/>
    <w:uiPriority w:val="99"/>
    <w:tblPr>
      <w:tblCellMar>
        <w:top w:w="0" w:type="dxa"/>
        <w:left w:w="0" w:type="dxa"/>
        <w:bottom w:w="0" w:type="dxa"/>
        <w:right w:w="0" w:type="dxa"/>
      </w:tblCellMar>
    </w:tblPr>
  </w:style>
  <w:style w:type="table" w:customStyle="1" w:styleId="489">
    <w:name w:val="List Table 3 - Accent 51"/>
    <w:qFormat/>
    <w:uiPriority w:val="99"/>
    <w:tblPr>
      <w:tblCellMar>
        <w:top w:w="0" w:type="dxa"/>
        <w:left w:w="0" w:type="dxa"/>
        <w:bottom w:w="0" w:type="dxa"/>
        <w:right w:w="0" w:type="dxa"/>
      </w:tblCellMar>
    </w:tblPr>
  </w:style>
  <w:style w:type="table" w:customStyle="1" w:styleId="490">
    <w:name w:val="List Table 3 - Accent 61"/>
    <w:qFormat/>
    <w:uiPriority w:val="99"/>
    <w:tblPr>
      <w:tblCellMar>
        <w:top w:w="0" w:type="dxa"/>
        <w:left w:w="0" w:type="dxa"/>
        <w:bottom w:w="0" w:type="dxa"/>
        <w:right w:w="0" w:type="dxa"/>
      </w:tblCellMar>
    </w:tblPr>
  </w:style>
  <w:style w:type="table" w:customStyle="1" w:styleId="491">
    <w:name w:val="清单表 411"/>
    <w:qFormat/>
    <w:uiPriority w:val="99"/>
    <w:tblPr>
      <w:tblCellMar>
        <w:top w:w="0" w:type="dxa"/>
        <w:left w:w="0" w:type="dxa"/>
        <w:bottom w:w="0" w:type="dxa"/>
        <w:right w:w="0" w:type="dxa"/>
      </w:tblCellMar>
    </w:tblPr>
  </w:style>
  <w:style w:type="table" w:customStyle="1" w:styleId="492">
    <w:name w:val="List Table 4 - Accent 11"/>
    <w:qFormat/>
    <w:uiPriority w:val="99"/>
    <w:tblPr>
      <w:tblCellMar>
        <w:top w:w="0" w:type="dxa"/>
        <w:left w:w="0" w:type="dxa"/>
        <w:bottom w:w="0" w:type="dxa"/>
        <w:right w:w="0" w:type="dxa"/>
      </w:tblCellMar>
    </w:tblPr>
  </w:style>
  <w:style w:type="table" w:customStyle="1" w:styleId="493">
    <w:name w:val="List Table 4 - Accent 21"/>
    <w:qFormat/>
    <w:uiPriority w:val="99"/>
    <w:tblPr>
      <w:tblCellMar>
        <w:top w:w="0" w:type="dxa"/>
        <w:left w:w="0" w:type="dxa"/>
        <w:bottom w:w="0" w:type="dxa"/>
        <w:right w:w="0" w:type="dxa"/>
      </w:tblCellMar>
    </w:tblPr>
  </w:style>
  <w:style w:type="table" w:customStyle="1" w:styleId="494">
    <w:name w:val="List Table 4 - Accent 31"/>
    <w:qFormat/>
    <w:uiPriority w:val="99"/>
    <w:tblPr>
      <w:tblCellMar>
        <w:top w:w="0" w:type="dxa"/>
        <w:left w:w="0" w:type="dxa"/>
        <w:bottom w:w="0" w:type="dxa"/>
        <w:right w:w="0" w:type="dxa"/>
      </w:tblCellMar>
    </w:tblPr>
  </w:style>
  <w:style w:type="table" w:customStyle="1" w:styleId="495">
    <w:name w:val="List Table 4 - Accent 41"/>
    <w:qFormat/>
    <w:uiPriority w:val="99"/>
    <w:tblPr>
      <w:tblCellMar>
        <w:top w:w="0" w:type="dxa"/>
        <w:left w:w="0" w:type="dxa"/>
        <w:bottom w:w="0" w:type="dxa"/>
        <w:right w:w="0" w:type="dxa"/>
      </w:tblCellMar>
    </w:tblPr>
  </w:style>
  <w:style w:type="table" w:customStyle="1" w:styleId="496">
    <w:name w:val="List Table 4 - Accent 51"/>
    <w:qFormat/>
    <w:uiPriority w:val="99"/>
    <w:tblPr>
      <w:tblCellMar>
        <w:top w:w="0" w:type="dxa"/>
        <w:left w:w="0" w:type="dxa"/>
        <w:bottom w:w="0" w:type="dxa"/>
        <w:right w:w="0" w:type="dxa"/>
      </w:tblCellMar>
    </w:tblPr>
  </w:style>
  <w:style w:type="table" w:customStyle="1" w:styleId="497">
    <w:name w:val="List Table 4 - Accent 61"/>
    <w:qFormat/>
    <w:uiPriority w:val="99"/>
    <w:tblPr>
      <w:tblCellMar>
        <w:top w:w="0" w:type="dxa"/>
        <w:left w:w="0" w:type="dxa"/>
        <w:bottom w:w="0" w:type="dxa"/>
        <w:right w:w="0" w:type="dxa"/>
      </w:tblCellMar>
    </w:tblPr>
  </w:style>
  <w:style w:type="table" w:customStyle="1" w:styleId="498">
    <w:name w:val="清单表 5 深色11"/>
    <w:qFormat/>
    <w:uiPriority w:val="99"/>
    <w:tblPr>
      <w:tblCellMar>
        <w:top w:w="0" w:type="dxa"/>
        <w:left w:w="0" w:type="dxa"/>
        <w:bottom w:w="0" w:type="dxa"/>
        <w:right w:w="0" w:type="dxa"/>
      </w:tblCellMar>
    </w:tblPr>
  </w:style>
  <w:style w:type="table" w:customStyle="1" w:styleId="499">
    <w:name w:val="List Table 5 Dark - Accent 11"/>
    <w:qFormat/>
    <w:uiPriority w:val="99"/>
    <w:tblPr>
      <w:tblCellMar>
        <w:top w:w="0" w:type="dxa"/>
        <w:left w:w="0" w:type="dxa"/>
        <w:bottom w:w="0" w:type="dxa"/>
        <w:right w:w="0" w:type="dxa"/>
      </w:tblCellMar>
    </w:tblPr>
  </w:style>
  <w:style w:type="table" w:customStyle="1" w:styleId="500">
    <w:name w:val="List Table 5 Dark - Accent 21"/>
    <w:qFormat/>
    <w:uiPriority w:val="99"/>
    <w:tblPr>
      <w:tblCellMar>
        <w:top w:w="0" w:type="dxa"/>
        <w:left w:w="0" w:type="dxa"/>
        <w:bottom w:w="0" w:type="dxa"/>
        <w:right w:w="0" w:type="dxa"/>
      </w:tblCellMar>
    </w:tblPr>
  </w:style>
  <w:style w:type="table" w:customStyle="1" w:styleId="501">
    <w:name w:val="List Table 5 Dark - Accent 31"/>
    <w:qFormat/>
    <w:uiPriority w:val="99"/>
    <w:tblPr>
      <w:tblCellMar>
        <w:top w:w="0" w:type="dxa"/>
        <w:left w:w="0" w:type="dxa"/>
        <w:bottom w:w="0" w:type="dxa"/>
        <w:right w:w="0" w:type="dxa"/>
      </w:tblCellMar>
    </w:tblPr>
  </w:style>
  <w:style w:type="table" w:customStyle="1" w:styleId="502">
    <w:name w:val="List Table 5 Dark - Accent 41"/>
    <w:qFormat/>
    <w:uiPriority w:val="99"/>
    <w:tblPr>
      <w:tblCellMar>
        <w:top w:w="0" w:type="dxa"/>
        <w:left w:w="0" w:type="dxa"/>
        <w:bottom w:w="0" w:type="dxa"/>
        <w:right w:w="0" w:type="dxa"/>
      </w:tblCellMar>
    </w:tblPr>
  </w:style>
  <w:style w:type="table" w:customStyle="1" w:styleId="503">
    <w:name w:val="List Table 5 Dark - Accent 51"/>
    <w:qFormat/>
    <w:uiPriority w:val="99"/>
    <w:tblPr>
      <w:tblCellMar>
        <w:top w:w="0" w:type="dxa"/>
        <w:left w:w="0" w:type="dxa"/>
        <w:bottom w:w="0" w:type="dxa"/>
        <w:right w:w="0" w:type="dxa"/>
      </w:tblCellMar>
    </w:tblPr>
  </w:style>
  <w:style w:type="table" w:customStyle="1" w:styleId="504">
    <w:name w:val="List Table 5 Dark - Accent 61"/>
    <w:qFormat/>
    <w:uiPriority w:val="99"/>
    <w:tblPr>
      <w:tblCellMar>
        <w:top w:w="0" w:type="dxa"/>
        <w:left w:w="0" w:type="dxa"/>
        <w:bottom w:w="0" w:type="dxa"/>
        <w:right w:w="0" w:type="dxa"/>
      </w:tblCellMar>
    </w:tblPr>
  </w:style>
  <w:style w:type="table" w:customStyle="1" w:styleId="505">
    <w:name w:val="清单表 6 彩色11"/>
    <w:qFormat/>
    <w:uiPriority w:val="99"/>
    <w:tblPr>
      <w:tblCellMar>
        <w:top w:w="0" w:type="dxa"/>
        <w:left w:w="0" w:type="dxa"/>
        <w:bottom w:w="0" w:type="dxa"/>
        <w:right w:w="0" w:type="dxa"/>
      </w:tblCellMar>
    </w:tblPr>
  </w:style>
  <w:style w:type="table" w:customStyle="1" w:styleId="506">
    <w:name w:val="List Table 6 Colorful - Accent 11"/>
    <w:qFormat/>
    <w:uiPriority w:val="99"/>
    <w:tblPr>
      <w:tblCellMar>
        <w:top w:w="0" w:type="dxa"/>
        <w:left w:w="0" w:type="dxa"/>
        <w:bottom w:w="0" w:type="dxa"/>
        <w:right w:w="0" w:type="dxa"/>
      </w:tblCellMar>
    </w:tblPr>
  </w:style>
  <w:style w:type="table" w:customStyle="1" w:styleId="507">
    <w:name w:val="List Table 6 Colorful - Accent 21"/>
    <w:qFormat/>
    <w:uiPriority w:val="99"/>
    <w:tblPr>
      <w:tblCellMar>
        <w:top w:w="0" w:type="dxa"/>
        <w:left w:w="0" w:type="dxa"/>
        <w:bottom w:w="0" w:type="dxa"/>
        <w:right w:w="0" w:type="dxa"/>
      </w:tblCellMar>
    </w:tblPr>
  </w:style>
  <w:style w:type="table" w:customStyle="1" w:styleId="508">
    <w:name w:val="List Table 6 Colorful - Accent 31"/>
    <w:qFormat/>
    <w:uiPriority w:val="99"/>
    <w:tblPr>
      <w:tblCellMar>
        <w:top w:w="0" w:type="dxa"/>
        <w:left w:w="0" w:type="dxa"/>
        <w:bottom w:w="0" w:type="dxa"/>
        <w:right w:w="0" w:type="dxa"/>
      </w:tblCellMar>
    </w:tblPr>
  </w:style>
  <w:style w:type="table" w:customStyle="1" w:styleId="509">
    <w:name w:val="List Table 6 Colorful - Accent 41"/>
    <w:qFormat/>
    <w:uiPriority w:val="99"/>
    <w:tblPr>
      <w:tblCellMar>
        <w:top w:w="0" w:type="dxa"/>
        <w:left w:w="0" w:type="dxa"/>
        <w:bottom w:w="0" w:type="dxa"/>
        <w:right w:w="0" w:type="dxa"/>
      </w:tblCellMar>
    </w:tblPr>
  </w:style>
  <w:style w:type="table" w:customStyle="1" w:styleId="510">
    <w:name w:val="List Table 6 Colorful - Accent 51"/>
    <w:qFormat/>
    <w:uiPriority w:val="99"/>
    <w:tblPr>
      <w:tblCellMar>
        <w:top w:w="0" w:type="dxa"/>
        <w:left w:w="0" w:type="dxa"/>
        <w:bottom w:w="0" w:type="dxa"/>
        <w:right w:w="0" w:type="dxa"/>
      </w:tblCellMar>
    </w:tblPr>
  </w:style>
  <w:style w:type="table" w:customStyle="1" w:styleId="511">
    <w:name w:val="List Table 6 Colorful - Accent 61"/>
    <w:qFormat/>
    <w:uiPriority w:val="99"/>
    <w:tblPr>
      <w:tblCellMar>
        <w:top w:w="0" w:type="dxa"/>
        <w:left w:w="0" w:type="dxa"/>
        <w:bottom w:w="0" w:type="dxa"/>
        <w:right w:w="0" w:type="dxa"/>
      </w:tblCellMar>
    </w:tblPr>
  </w:style>
  <w:style w:type="table" w:customStyle="1" w:styleId="512">
    <w:name w:val="清单表 7 彩色11"/>
    <w:qFormat/>
    <w:uiPriority w:val="99"/>
    <w:tblPr>
      <w:tblCellMar>
        <w:top w:w="0" w:type="dxa"/>
        <w:left w:w="0" w:type="dxa"/>
        <w:bottom w:w="0" w:type="dxa"/>
        <w:right w:w="0" w:type="dxa"/>
      </w:tblCellMar>
    </w:tblPr>
  </w:style>
  <w:style w:type="table" w:customStyle="1" w:styleId="513">
    <w:name w:val="List Table 7 Colorful - Accent 11"/>
    <w:qFormat/>
    <w:uiPriority w:val="99"/>
    <w:tblPr>
      <w:tblCellMar>
        <w:top w:w="0" w:type="dxa"/>
        <w:left w:w="0" w:type="dxa"/>
        <w:bottom w:w="0" w:type="dxa"/>
        <w:right w:w="0" w:type="dxa"/>
      </w:tblCellMar>
    </w:tblPr>
  </w:style>
  <w:style w:type="table" w:customStyle="1" w:styleId="514">
    <w:name w:val="List Table 7 Colorful - Accent 21"/>
    <w:qFormat/>
    <w:uiPriority w:val="99"/>
    <w:tblPr>
      <w:tblCellMar>
        <w:top w:w="0" w:type="dxa"/>
        <w:left w:w="0" w:type="dxa"/>
        <w:bottom w:w="0" w:type="dxa"/>
        <w:right w:w="0" w:type="dxa"/>
      </w:tblCellMar>
    </w:tblPr>
  </w:style>
  <w:style w:type="table" w:customStyle="1" w:styleId="515">
    <w:name w:val="List Table 7 Colorful - Accent 31"/>
    <w:qFormat/>
    <w:uiPriority w:val="99"/>
    <w:tblPr>
      <w:tblCellMar>
        <w:top w:w="0" w:type="dxa"/>
        <w:left w:w="0" w:type="dxa"/>
        <w:bottom w:w="0" w:type="dxa"/>
        <w:right w:w="0" w:type="dxa"/>
      </w:tblCellMar>
    </w:tblPr>
  </w:style>
  <w:style w:type="table" w:customStyle="1" w:styleId="516">
    <w:name w:val="List Table 7 Colorful - Accent 41"/>
    <w:qFormat/>
    <w:uiPriority w:val="99"/>
    <w:tblPr>
      <w:tblCellMar>
        <w:top w:w="0" w:type="dxa"/>
        <w:left w:w="0" w:type="dxa"/>
        <w:bottom w:w="0" w:type="dxa"/>
        <w:right w:w="0" w:type="dxa"/>
      </w:tblCellMar>
    </w:tblPr>
  </w:style>
  <w:style w:type="table" w:customStyle="1" w:styleId="517">
    <w:name w:val="List Table 7 Colorful - Accent 51"/>
    <w:qFormat/>
    <w:uiPriority w:val="99"/>
    <w:tblPr>
      <w:tblCellMar>
        <w:top w:w="0" w:type="dxa"/>
        <w:left w:w="0" w:type="dxa"/>
        <w:bottom w:w="0" w:type="dxa"/>
        <w:right w:w="0" w:type="dxa"/>
      </w:tblCellMar>
    </w:tblPr>
  </w:style>
  <w:style w:type="table" w:customStyle="1" w:styleId="518">
    <w:name w:val="List Table 7 Colorful - Accent 61"/>
    <w:qFormat/>
    <w:uiPriority w:val="99"/>
    <w:tblPr>
      <w:tblCellMar>
        <w:top w:w="0" w:type="dxa"/>
        <w:left w:w="0" w:type="dxa"/>
        <w:bottom w:w="0" w:type="dxa"/>
        <w:right w:w="0" w:type="dxa"/>
      </w:tblCellMar>
    </w:tblPr>
  </w:style>
  <w:style w:type="table" w:customStyle="1" w:styleId="519">
    <w:name w:val="Lined - Accent 11"/>
    <w:qFormat/>
    <w:uiPriority w:val="99"/>
    <w:rPr>
      <w:color w:val="404040"/>
    </w:rPr>
    <w:tblPr>
      <w:tblCellMar>
        <w:top w:w="0" w:type="dxa"/>
        <w:left w:w="0" w:type="dxa"/>
        <w:bottom w:w="0" w:type="dxa"/>
        <w:right w:w="0" w:type="dxa"/>
      </w:tblCellMar>
    </w:tblPr>
  </w:style>
  <w:style w:type="table" w:customStyle="1" w:styleId="520">
    <w:name w:val="Lined - Accent 21"/>
    <w:qFormat/>
    <w:uiPriority w:val="99"/>
    <w:rPr>
      <w:color w:val="404040"/>
    </w:rPr>
    <w:tblPr>
      <w:tblCellMar>
        <w:top w:w="0" w:type="dxa"/>
        <w:left w:w="0" w:type="dxa"/>
        <w:bottom w:w="0" w:type="dxa"/>
        <w:right w:w="0" w:type="dxa"/>
      </w:tblCellMar>
    </w:tblPr>
  </w:style>
  <w:style w:type="table" w:customStyle="1" w:styleId="521">
    <w:name w:val="Lined - Accent 31"/>
    <w:qFormat/>
    <w:uiPriority w:val="99"/>
    <w:rPr>
      <w:color w:val="404040"/>
    </w:rPr>
    <w:tblPr>
      <w:tblCellMar>
        <w:top w:w="0" w:type="dxa"/>
        <w:left w:w="0" w:type="dxa"/>
        <w:bottom w:w="0" w:type="dxa"/>
        <w:right w:w="0" w:type="dxa"/>
      </w:tblCellMar>
    </w:tblPr>
  </w:style>
  <w:style w:type="table" w:customStyle="1" w:styleId="522">
    <w:name w:val="Lined - Accent 41"/>
    <w:qFormat/>
    <w:uiPriority w:val="99"/>
    <w:rPr>
      <w:color w:val="404040"/>
    </w:rPr>
    <w:tblPr>
      <w:tblCellMar>
        <w:top w:w="0" w:type="dxa"/>
        <w:left w:w="0" w:type="dxa"/>
        <w:bottom w:w="0" w:type="dxa"/>
        <w:right w:w="0" w:type="dxa"/>
      </w:tblCellMar>
    </w:tblPr>
  </w:style>
  <w:style w:type="table" w:customStyle="1" w:styleId="523">
    <w:name w:val="Lined - Accent 51"/>
    <w:qFormat/>
    <w:uiPriority w:val="99"/>
    <w:rPr>
      <w:color w:val="404040"/>
    </w:rPr>
    <w:tblPr>
      <w:tblCellMar>
        <w:top w:w="0" w:type="dxa"/>
        <w:left w:w="0" w:type="dxa"/>
        <w:bottom w:w="0" w:type="dxa"/>
        <w:right w:w="0" w:type="dxa"/>
      </w:tblCellMar>
    </w:tblPr>
  </w:style>
  <w:style w:type="table" w:customStyle="1" w:styleId="524">
    <w:name w:val="Lined - Accent 61"/>
    <w:qFormat/>
    <w:uiPriority w:val="99"/>
    <w:rPr>
      <w:color w:val="404040"/>
    </w:rPr>
    <w:tblPr>
      <w:tblCellMar>
        <w:top w:w="0" w:type="dxa"/>
        <w:left w:w="0" w:type="dxa"/>
        <w:bottom w:w="0" w:type="dxa"/>
        <w:right w:w="0" w:type="dxa"/>
      </w:tblCellMar>
    </w:tblPr>
  </w:style>
  <w:style w:type="table" w:customStyle="1" w:styleId="525">
    <w:name w:val="Bordered &amp; Lined - Accent 11"/>
    <w:qFormat/>
    <w:uiPriority w:val="99"/>
    <w:rPr>
      <w:color w:val="404040"/>
    </w:rPr>
    <w:tblPr>
      <w:tblCellMar>
        <w:top w:w="0" w:type="dxa"/>
        <w:left w:w="0" w:type="dxa"/>
        <w:bottom w:w="0" w:type="dxa"/>
        <w:right w:w="0" w:type="dxa"/>
      </w:tblCellMar>
    </w:tblPr>
  </w:style>
  <w:style w:type="table" w:customStyle="1" w:styleId="526">
    <w:name w:val="Bordered &amp; Lined - Accent 21"/>
    <w:qFormat/>
    <w:uiPriority w:val="99"/>
    <w:rPr>
      <w:color w:val="404040"/>
    </w:rPr>
    <w:tblPr>
      <w:tblCellMar>
        <w:top w:w="0" w:type="dxa"/>
        <w:left w:w="0" w:type="dxa"/>
        <w:bottom w:w="0" w:type="dxa"/>
        <w:right w:w="0" w:type="dxa"/>
      </w:tblCellMar>
    </w:tblPr>
  </w:style>
  <w:style w:type="table" w:customStyle="1" w:styleId="527">
    <w:name w:val="Bordered &amp; Lined - Accent 31"/>
    <w:qFormat/>
    <w:uiPriority w:val="99"/>
    <w:rPr>
      <w:color w:val="404040"/>
    </w:rPr>
    <w:tblPr>
      <w:tblCellMar>
        <w:top w:w="0" w:type="dxa"/>
        <w:left w:w="0" w:type="dxa"/>
        <w:bottom w:w="0" w:type="dxa"/>
        <w:right w:w="0" w:type="dxa"/>
      </w:tblCellMar>
    </w:tblPr>
  </w:style>
  <w:style w:type="table" w:customStyle="1" w:styleId="528">
    <w:name w:val="Bordered &amp; Lined - Accent 41"/>
    <w:qFormat/>
    <w:uiPriority w:val="99"/>
    <w:rPr>
      <w:color w:val="404040"/>
    </w:rPr>
    <w:tblPr>
      <w:tblCellMar>
        <w:top w:w="0" w:type="dxa"/>
        <w:left w:w="0" w:type="dxa"/>
        <w:bottom w:w="0" w:type="dxa"/>
        <w:right w:w="0" w:type="dxa"/>
      </w:tblCellMar>
    </w:tblPr>
  </w:style>
  <w:style w:type="table" w:customStyle="1" w:styleId="529">
    <w:name w:val="Bordered &amp; Lined - Accent 51"/>
    <w:qFormat/>
    <w:uiPriority w:val="99"/>
    <w:rPr>
      <w:color w:val="404040"/>
    </w:rPr>
    <w:tblPr>
      <w:tblCellMar>
        <w:top w:w="0" w:type="dxa"/>
        <w:left w:w="0" w:type="dxa"/>
        <w:bottom w:w="0" w:type="dxa"/>
        <w:right w:w="0" w:type="dxa"/>
      </w:tblCellMar>
    </w:tblPr>
  </w:style>
  <w:style w:type="table" w:customStyle="1" w:styleId="530">
    <w:name w:val="Bordered &amp; Lined - Accent 61"/>
    <w:qFormat/>
    <w:uiPriority w:val="99"/>
    <w:rPr>
      <w:color w:val="404040"/>
    </w:rPr>
    <w:tblPr>
      <w:tblCellMar>
        <w:top w:w="0" w:type="dxa"/>
        <w:left w:w="0" w:type="dxa"/>
        <w:bottom w:w="0" w:type="dxa"/>
        <w:right w:w="0" w:type="dxa"/>
      </w:tblCellMar>
    </w:tblPr>
  </w:style>
  <w:style w:type="table" w:customStyle="1" w:styleId="531">
    <w:name w:val="Bordered1"/>
    <w:qFormat/>
    <w:uiPriority w:val="99"/>
    <w:tblPr>
      <w:tblCellMar>
        <w:top w:w="0" w:type="dxa"/>
        <w:left w:w="0" w:type="dxa"/>
        <w:bottom w:w="0" w:type="dxa"/>
        <w:right w:w="0" w:type="dxa"/>
      </w:tblCellMar>
    </w:tblPr>
  </w:style>
  <w:style w:type="table" w:customStyle="1" w:styleId="532">
    <w:name w:val="Bordered - Accent 11"/>
    <w:qFormat/>
    <w:uiPriority w:val="99"/>
    <w:tblPr>
      <w:tblCellMar>
        <w:top w:w="0" w:type="dxa"/>
        <w:left w:w="0" w:type="dxa"/>
        <w:bottom w:w="0" w:type="dxa"/>
        <w:right w:w="0" w:type="dxa"/>
      </w:tblCellMar>
    </w:tblPr>
  </w:style>
  <w:style w:type="table" w:customStyle="1" w:styleId="533">
    <w:name w:val="Bordered - Accent 21"/>
    <w:qFormat/>
    <w:uiPriority w:val="99"/>
    <w:tblPr>
      <w:tblCellMar>
        <w:top w:w="0" w:type="dxa"/>
        <w:left w:w="0" w:type="dxa"/>
        <w:bottom w:w="0" w:type="dxa"/>
        <w:right w:w="0" w:type="dxa"/>
      </w:tblCellMar>
    </w:tblPr>
  </w:style>
  <w:style w:type="table" w:customStyle="1" w:styleId="534">
    <w:name w:val="Bordered - Accent 31"/>
    <w:qFormat/>
    <w:uiPriority w:val="99"/>
    <w:tblPr>
      <w:tblCellMar>
        <w:top w:w="0" w:type="dxa"/>
        <w:left w:w="0" w:type="dxa"/>
        <w:bottom w:w="0" w:type="dxa"/>
        <w:right w:w="0" w:type="dxa"/>
      </w:tblCellMar>
    </w:tblPr>
  </w:style>
  <w:style w:type="table" w:customStyle="1" w:styleId="535">
    <w:name w:val="Bordered - Accent 41"/>
    <w:qFormat/>
    <w:uiPriority w:val="99"/>
    <w:tblPr>
      <w:tblCellMar>
        <w:top w:w="0" w:type="dxa"/>
        <w:left w:w="0" w:type="dxa"/>
        <w:bottom w:w="0" w:type="dxa"/>
        <w:right w:w="0" w:type="dxa"/>
      </w:tblCellMar>
    </w:tblPr>
  </w:style>
  <w:style w:type="table" w:customStyle="1" w:styleId="536">
    <w:name w:val="Bordered - Accent 51"/>
    <w:qFormat/>
    <w:uiPriority w:val="99"/>
    <w:tblPr>
      <w:tblCellMar>
        <w:top w:w="0" w:type="dxa"/>
        <w:left w:w="0" w:type="dxa"/>
        <w:bottom w:w="0" w:type="dxa"/>
        <w:right w:w="0" w:type="dxa"/>
      </w:tblCellMar>
    </w:tblPr>
  </w:style>
  <w:style w:type="table" w:customStyle="1" w:styleId="537">
    <w:name w:val="Bordered - Accent 61"/>
    <w:qFormat/>
    <w:uiPriority w:val="99"/>
    <w:tblPr>
      <w:tblCellMar>
        <w:top w:w="0" w:type="dxa"/>
        <w:left w:w="0" w:type="dxa"/>
        <w:bottom w:w="0" w:type="dxa"/>
        <w:right w:w="0" w:type="dxa"/>
      </w:tblCellMar>
    </w:tblPr>
  </w:style>
  <w:style w:type="paragraph" w:customStyle="1" w:styleId="538">
    <w:name w:val="目录 71"/>
    <w:basedOn w:val="1"/>
    <w:next w:val="1"/>
    <w:qFormat/>
    <w:uiPriority w:val="0"/>
    <w:pPr>
      <w:ind w:left="2520"/>
    </w:pPr>
    <w:rPr>
      <w:rFonts w:ascii="Calibri" w:hAnsi="Calibri" w:eastAsia="楷体_GB2312"/>
      <w:sz w:val="26"/>
      <w:szCs w:val="20"/>
    </w:rPr>
  </w:style>
  <w:style w:type="character" w:customStyle="1" w:styleId="539">
    <w:name w:val="正文文本 字符2"/>
    <w:qFormat/>
    <w:uiPriority w:val="0"/>
    <w:rPr>
      <w:rFonts w:ascii="Times New Roman" w:hAnsi="Times New Roman" w:eastAsia="宋体" w:cs="Times New Roman"/>
      <w:sz w:val="21"/>
      <w:szCs w:val="22"/>
    </w:rPr>
  </w:style>
  <w:style w:type="paragraph" w:customStyle="1" w:styleId="540">
    <w:name w:val="目录 51"/>
    <w:basedOn w:val="1"/>
    <w:next w:val="1"/>
    <w:qFormat/>
    <w:uiPriority w:val="0"/>
    <w:pPr>
      <w:ind w:left="1680"/>
    </w:pPr>
    <w:rPr>
      <w:rFonts w:ascii="Calibri" w:hAnsi="Calibri" w:eastAsia="楷体_GB2312"/>
      <w:sz w:val="26"/>
      <w:szCs w:val="20"/>
    </w:rPr>
  </w:style>
  <w:style w:type="paragraph" w:customStyle="1" w:styleId="541">
    <w:name w:val="目录 31"/>
    <w:basedOn w:val="1"/>
    <w:next w:val="1"/>
    <w:link w:val="542"/>
    <w:qFormat/>
    <w:uiPriority w:val="0"/>
    <w:pPr>
      <w:ind w:left="840"/>
    </w:pPr>
    <w:rPr>
      <w:rFonts w:ascii="Calibri" w:hAnsi="Calibri"/>
      <w:szCs w:val="20"/>
    </w:rPr>
  </w:style>
  <w:style w:type="character" w:customStyle="1" w:styleId="542">
    <w:name w:val="目录 3 Char"/>
    <w:link w:val="541"/>
    <w:qFormat/>
    <w:uiPriority w:val="0"/>
    <w:rPr>
      <w:rFonts w:ascii="Calibri" w:hAnsi="Calibri"/>
      <w:sz w:val="21"/>
    </w:rPr>
  </w:style>
  <w:style w:type="character" w:customStyle="1" w:styleId="543">
    <w:name w:val="纯文本 字符1"/>
    <w:qFormat/>
    <w:uiPriority w:val="0"/>
    <w:rPr>
      <w:rFonts w:ascii="宋体" w:hAnsi="Courier New" w:eastAsia="宋体" w:cs="Times New Roman"/>
      <w:sz w:val="21"/>
    </w:rPr>
  </w:style>
  <w:style w:type="paragraph" w:customStyle="1" w:styleId="544">
    <w:name w:val="目录 81"/>
    <w:basedOn w:val="1"/>
    <w:next w:val="1"/>
    <w:qFormat/>
    <w:uiPriority w:val="0"/>
    <w:pPr>
      <w:ind w:left="2940"/>
    </w:pPr>
    <w:rPr>
      <w:rFonts w:ascii="Calibri" w:hAnsi="Calibri" w:eastAsia="楷体_GB2312"/>
      <w:sz w:val="26"/>
      <w:szCs w:val="20"/>
    </w:rPr>
  </w:style>
  <w:style w:type="paragraph" w:customStyle="1" w:styleId="545">
    <w:name w:val="目录 41"/>
    <w:basedOn w:val="1"/>
    <w:next w:val="1"/>
    <w:qFormat/>
    <w:uiPriority w:val="0"/>
    <w:pPr>
      <w:ind w:left="1260"/>
    </w:pPr>
    <w:rPr>
      <w:rFonts w:ascii="Calibri" w:hAnsi="Calibri" w:eastAsia="楷体_GB2312"/>
      <w:sz w:val="26"/>
      <w:szCs w:val="20"/>
    </w:rPr>
  </w:style>
  <w:style w:type="paragraph" w:customStyle="1" w:styleId="546">
    <w:name w:val="目录 61"/>
    <w:basedOn w:val="1"/>
    <w:next w:val="1"/>
    <w:qFormat/>
    <w:uiPriority w:val="0"/>
    <w:pPr>
      <w:ind w:left="2100"/>
    </w:pPr>
    <w:rPr>
      <w:rFonts w:ascii="Calibri" w:hAnsi="Calibri" w:eastAsia="楷体_GB2312"/>
      <w:sz w:val="26"/>
      <w:szCs w:val="20"/>
    </w:rPr>
  </w:style>
  <w:style w:type="paragraph" w:customStyle="1" w:styleId="547">
    <w:name w:val="目录 21"/>
    <w:basedOn w:val="1"/>
    <w:next w:val="1"/>
    <w:qFormat/>
    <w:uiPriority w:val="0"/>
    <w:pPr>
      <w:ind w:left="420"/>
    </w:pPr>
    <w:rPr>
      <w:rFonts w:ascii="Calibri" w:hAnsi="Calibri" w:eastAsia="楷体_GB2312"/>
      <w:sz w:val="26"/>
      <w:szCs w:val="20"/>
    </w:rPr>
  </w:style>
  <w:style w:type="paragraph" w:customStyle="1" w:styleId="548">
    <w:name w:val="目录 91"/>
    <w:basedOn w:val="1"/>
    <w:next w:val="1"/>
    <w:qFormat/>
    <w:uiPriority w:val="0"/>
    <w:pPr>
      <w:ind w:left="3360"/>
    </w:pPr>
    <w:rPr>
      <w:rFonts w:ascii="Calibri" w:hAnsi="Calibri" w:eastAsia="楷体_GB2312"/>
      <w:sz w:val="26"/>
      <w:szCs w:val="20"/>
    </w:rPr>
  </w:style>
  <w:style w:type="character" w:customStyle="1" w:styleId="549">
    <w:name w:val="普通(网站) 字符"/>
    <w:link w:val="57"/>
    <w:qFormat/>
    <w:uiPriority w:val="0"/>
    <w:rPr>
      <w:rFonts w:ascii="宋体" w:hAnsi="宋体"/>
      <w:color w:val="000000"/>
      <w:sz w:val="24"/>
      <w:szCs w:val="24"/>
    </w:rPr>
  </w:style>
  <w:style w:type="paragraph" w:customStyle="1" w:styleId="550">
    <w:name w:val="正文首行缩进 21111"/>
    <w:basedOn w:val="551"/>
    <w:next w:val="1"/>
    <w:unhideWhenUsed/>
    <w:qFormat/>
    <w:uiPriority w:val="0"/>
    <w:pPr>
      <w:ind w:firstLine="420"/>
    </w:pPr>
  </w:style>
  <w:style w:type="paragraph" w:customStyle="1" w:styleId="551">
    <w:name w:val="正文文本缩进1"/>
    <w:basedOn w:val="1"/>
    <w:next w:val="552"/>
    <w:unhideWhenUsed/>
    <w:qFormat/>
    <w:uiPriority w:val="0"/>
    <w:pPr>
      <w:spacing w:after="120"/>
      <w:ind w:left="420"/>
    </w:pPr>
    <w:rPr>
      <w:szCs w:val="22"/>
      <w:lang w:eastAsia="en-US"/>
    </w:rPr>
  </w:style>
  <w:style w:type="paragraph" w:customStyle="1" w:styleId="552">
    <w:name w:val="寄信人地址1"/>
    <w:basedOn w:val="1"/>
    <w:unhideWhenUsed/>
    <w:qFormat/>
    <w:uiPriority w:val="99"/>
    <w:rPr>
      <w:rFonts w:ascii="Arial" w:hAnsi="Arial" w:eastAsia="楷体_GB2312"/>
      <w:sz w:val="26"/>
      <w:szCs w:val="20"/>
    </w:rPr>
  </w:style>
  <w:style w:type="paragraph" w:customStyle="1" w:styleId="553">
    <w:name w:val="正文缩进1"/>
    <w:basedOn w:val="1"/>
    <w:qFormat/>
    <w:uiPriority w:val="0"/>
    <w:pPr>
      <w:widowControl/>
      <w:ind w:firstLine="420"/>
      <w:jc w:val="left"/>
    </w:pPr>
    <w:rPr>
      <w:rFonts w:ascii="Calibri" w:hAnsi="Calibri"/>
      <w:szCs w:val="22"/>
    </w:rPr>
  </w:style>
  <w:style w:type="character" w:customStyle="1" w:styleId="554">
    <w:name w:val="NormalCharacter1"/>
    <w:qFormat/>
    <w:uiPriority w:val="0"/>
    <w:rPr>
      <w:rFonts w:ascii="Times New Roman" w:hAnsi="Times New Roman" w:eastAsia="宋体" w:cs="Times New Roman"/>
    </w:rPr>
  </w:style>
  <w:style w:type="paragraph" w:customStyle="1" w:styleId="555">
    <w:name w:val="Default"/>
    <w:qFormat/>
    <w:uiPriority w:val="0"/>
    <w:pPr>
      <w:widowControl w:val="0"/>
    </w:pPr>
    <w:rPr>
      <w:rFonts w:hint="default" w:ascii="微软雅黑" w:hAnsi="Times New Roman" w:eastAsia="微软雅黑" w:cs="微软雅黑"/>
      <w:color w:val="000000"/>
      <w:sz w:val="24"/>
      <w:szCs w:val="24"/>
    </w:rPr>
  </w:style>
  <w:style w:type="table" w:customStyle="1" w:styleId="556">
    <w:name w:val="网格型11"/>
    <w:basedOn w:val="62"/>
    <w:qFormat/>
    <w:uiPriority w:val="0"/>
    <w:pPr>
      <w:widowControl w:val="0"/>
      <w:jc w:val="both"/>
    </w:pPr>
  </w:style>
  <w:style w:type="table" w:customStyle="1" w:styleId="557">
    <w:name w:val="网格型2"/>
    <w:basedOn w:val="62"/>
    <w:qFormat/>
    <w:uiPriority w:val="0"/>
    <w:pPr>
      <w:widowControl w:val="0"/>
      <w:jc w:val="both"/>
    </w:pPr>
  </w:style>
  <w:style w:type="character" w:customStyle="1" w:styleId="558">
    <w:name w:val="正文文本 Char"/>
    <w:qFormat/>
    <w:uiPriority w:val="0"/>
    <w:rPr>
      <w:rFonts w:ascii="楷体_GB2312" w:eastAsia="楷体_GB2312"/>
      <w:sz w:val="28"/>
    </w:rPr>
  </w:style>
  <w:style w:type="paragraph" w:customStyle="1" w:styleId="559">
    <w:name w:val="style4"/>
    <w:basedOn w:val="1"/>
    <w:next w:val="560"/>
    <w:qFormat/>
    <w:uiPriority w:val="99"/>
    <w:pPr>
      <w:widowControl/>
      <w:spacing w:before="280" w:after="280"/>
    </w:pPr>
    <w:rPr>
      <w:rFonts w:ascii="宋体" w:hAnsi="Calibri" w:eastAsia="楷体_GB2312"/>
      <w:sz w:val="18"/>
      <w:szCs w:val="20"/>
    </w:rPr>
  </w:style>
  <w:style w:type="paragraph" w:customStyle="1" w:styleId="560">
    <w:name w:val="2"/>
    <w:next w:val="1"/>
    <w:qFormat/>
    <w:uiPriority w:val="99"/>
    <w:pPr>
      <w:widowControl w:val="0"/>
      <w:jc w:val="both"/>
    </w:pPr>
    <w:rPr>
      <w:rFonts w:hint="default" w:ascii="Times New Roman" w:hAnsi="Times New Roman" w:eastAsia="宋体" w:cs="Times New Roman"/>
      <w:sz w:val="21"/>
      <w:szCs w:val="22"/>
    </w:rPr>
  </w:style>
  <w:style w:type="table" w:customStyle="1" w:styleId="561">
    <w:name w:val="网格型3"/>
    <w:basedOn w:val="62"/>
    <w:qFormat/>
    <w:uiPriority w:val="0"/>
    <w:pPr>
      <w:widowControl w:val="0"/>
      <w:jc w:val="both"/>
    </w:pPr>
    <w:rPr>
      <w:sz w:val="21"/>
      <w:szCs w:val="22"/>
    </w:rPr>
  </w:style>
  <w:style w:type="character" w:customStyle="1" w:styleId="562">
    <w:name w:val="Char Char4"/>
    <w:qFormat/>
    <w:uiPriority w:val="0"/>
    <w:rPr>
      <w:rFonts w:ascii="方正仿宋简体" w:hAnsi="汉仪雅酷黑简" w:eastAsia="方正仿宋简体"/>
      <w:sz w:val="24"/>
      <w:lang w:val="en-US" w:eastAsia="zh-CN" w:bidi="ar-SA"/>
    </w:rPr>
  </w:style>
  <w:style w:type="character" w:customStyle="1" w:styleId="563">
    <w:name w:val="state"/>
    <w:qFormat/>
    <w:uiPriority w:val="0"/>
    <w:rPr>
      <w:b/>
      <w:color w:val="FFFFFF"/>
      <w:sz w:val="19"/>
      <w:szCs w:val="19"/>
    </w:rPr>
  </w:style>
  <w:style w:type="character" w:customStyle="1" w:styleId="564">
    <w:name w:val="bds_more6"/>
    <w:qFormat/>
    <w:uiPriority w:val="0"/>
  </w:style>
  <w:style w:type="character" w:customStyle="1" w:styleId="565">
    <w:name w:val="hilite"/>
    <w:qFormat/>
    <w:uiPriority w:val="0"/>
    <w:rPr>
      <w:color w:val="FFFFFF"/>
      <w:shd w:val="clear" w:color="auto" w:fill="776666"/>
    </w:rPr>
  </w:style>
  <w:style w:type="character" w:customStyle="1" w:styleId="566">
    <w:name w:val="bds_nopic"/>
    <w:qFormat/>
    <w:uiPriority w:val="0"/>
  </w:style>
  <w:style w:type="character" w:customStyle="1" w:styleId="567">
    <w:name w:val="Char Char2"/>
    <w:qFormat/>
    <w:uiPriority w:val="0"/>
    <w:rPr>
      <w:rFonts w:ascii="宋体" w:hAnsi="宋体" w:eastAsia="楷体_GB2312"/>
      <w:b/>
      <w:sz w:val="26"/>
      <w:lang w:val="en-US" w:eastAsia="zh-CN" w:bidi="ar-SA"/>
    </w:rPr>
  </w:style>
  <w:style w:type="character" w:customStyle="1" w:styleId="568">
    <w:name w:val="hover61"/>
    <w:qFormat/>
    <w:uiPriority w:val="0"/>
    <w:rPr>
      <w:shd w:val="clear" w:color="auto" w:fill="FF0000"/>
    </w:rPr>
  </w:style>
  <w:style w:type="character" w:customStyle="1" w:styleId="569">
    <w:name w:val="grid"/>
    <w:qFormat/>
    <w:uiPriority w:val="0"/>
  </w:style>
  <w:style w:type="character" w:customStyle="1" w:styleId="570">
    <w:name w:val="bds_more7"/>
    <w:qFormat/>
    <w:uiPriority w:val="0"/>
  </w:style>
  <w:style w:type="character" w:customStyle="1" w:styleId="571">
    <w:name w:val="bds_more8"/>
    <w:qFormat/>
    <w:uiPriority w:val="0"/>
    <w:rPr>
      <w:rFonts w:hint="eastAsia" w:ascii="宋体" w:hAnsi="宋体" w:eastAsia="宋体" w:cs="宋体"/>
    </w:rPr>
  </w:style>
  <w:style w:type="character" w:customStyle="1" w:styleId="572">
    <w:name w:val="bds_more4"/>
    <w:qFormat/>
    <w:uiPriority w:val="0"/>
    <w:rPr>
      <w:rFonts w:hint="eastAsia" w:ascii="宋体" w:hAnsi="宋体" w:eastAsia="宋体" w:cs="宋体"/>
    </w:rPr>
  </w:style>
  <w:style w:type="character" w:customStyle="1" w:styleId="573">
    <w:name w:val="bds_nopic1"/>
    <w:qFormat/>
    <w:uiPriority w:val="0"/>
  </w:style>
  <w:style w:type="character" w:customStyle="1" w:styleId="574">
    <w:name w:val="hilite6"/>
    <w:qFormat/>
    <w:uiPriority w:val="0"/>
    <w:rPr>
      <w:color w:val="FFFFFF"/>
      <w:shd w:val="clear" w:color="auto" w:fill="776666"/>
    </w:rPr>
  </w:style>
  <w:style w:type="character" w:customStyle="1" w:styleId="575">
    <w:name w:val="正文缩进2格 Char Char"/>
    <w:qFormat/>
    <w:uiPriority w:val="0"/>
    <w:rPr>
      <w:rFonts w:ascii="仿宋_GB2312" w:hAnsi="宋体" w:eastAsia="仿宋_GB2312"/>
      <w:sz w:val="31"/>
      <w:szCs w:val="28"/>
    </w:rPr>
  </w:style>
  <w:style w:type="character" w:customStyle="1" w:styleId="576">
    <w:name w:val="grid2"/>
    <w:qFormat/>
    <w:uiPriority w:val="0"/>
  </w:style>
  <w:style w:type="character" w:customStyle="1" w:styleId="577">
    <w:name w:val="other"/>
    <w:qFormat/>
    <w:uiPriority w:val="0"/>
  </w:style>
  <w:style w:type="character" w:customStyle="1" w:styleId="578">
    <w:name w:val="font01"/>
    <w:qFormat/>
    <w:uiPriority w:val="0"/>
    <w:rPr>
      <w:rFonts w:hint="eastAsia" w:ascii="宋体" w:hAnsi="宋体" w:eastAsia="宋体" w:cs="宋体"/>
      <w:b/>
      <w:color w:val="000000"/>
      <w:sz w:val="20"/>
      <w:szCs w:val="20"/>
      <w:u w:val="none"/>
    </w:rPr>
  </w:style>
  <w:style w:type="character" w:customStyle="1" w:styleId="579">
    <w:name w:val="noused"/>
    <w:qFormat/>
    <w:uiPriority w:val="0"/>
    <w:rPr>
      <w:b/>
      <w:color w:val="FFFFFF"/>
      <w:sz w:val="21"/>
      <w:szCs w:val="21"/>
    </w:rPr>
  </w:style>
  <w:style w:type="character" w:customStyle="1" w:styleId="580">
    <w:name w:val="active8"/>
    <w:qFormat/>
    <w:uiPriority w:val="0"/>
    <w:rPr>
      <w:color w:val="00FF00"/>
      <w:shd w:val="clear" w:color="auto" w:fill="000000"/>
    </w:rPr>
  </w:style>
  <w:style w:type="character" w:customStyle="1" w:styleId="581">
    <w:name w:val="bds_more5"/>
    <w:qFormat/>
    <w:uiPriority w:val="0"/>
  </w:style>
  <w:style w:type="character" w:customStyle="1" w:styleId="582">
    <w:name w:val="bds_nopic2"/>
    <w:qFormat/>
    <w:uiPriority w:val="0"/>
  </w:style>
  <w:style w:type="character" w:customStyle="1" w:styleId="583">
    <w:name w:val="active"/>
    <w:qFormat/>
    <w:uiPriority w:val="0"/>
    <w:rPr>
      <w:color w:val="00FF00"/>
      <w:shd w:val="clear" w:color="auto" w:fill="000000"/>
    </w:rPr>
  </w:style>
  <w:style w:type="paragraph" w:customStyle="1" w:styleId="584">
    <w:name w:val="列出段落2"/>
    <w:basedOn w:val="1"/>
    <w:qFormat/>
    <w:uiPriority w:val="0"/>
    <w:pPr>
      <w:ind w:firstLine="420"/>
    </w:pPr>
  </w:style>
  <w:style w:type="character" w:customStyle="1" w:styleId="585">
    <w:name w:val="font41"/>
    <w:qFormat/>
    <w:uiPriority w:val="0"/>
    <w:rPr>
      <w:rFonts w:hint="eastAsia" w:ascii="宋体" w:hAnsi="宋体" w:eastAsia="宋体" w:cs="宋体"/>
      <w:color w:val="000000"/>
      <w:sz w:val="20"/>
      <w:szCs w:val="20"/>
      <w:u w:val="none"/>
    </w:rPr>
  </w:style>
  <w:style w:type="character" w:customStyle="1" w:styleId="586">
    <w:name w:val="font11"/>
    <w:qFormat/>
    <w:uiPriority w:val="0"/>
    <w:rPr>
      <w:rFonts w:ascii="宋体" w:hAnsi="宋体" w:eastAsia="宋体"/>
      <w:color w:val="000000"/>
      <w:sz w:val="28"/>
      <w:u w:val="none"/>
    </w:rPr>
  </w:style>
  <w:style w:type="character" w:customStyle="1" w:styleId="587">
    <w:name w:val="正文文本缩进 Char1"/>
    <w:qFormat/>
    <w:uiPriority w:val="0"/>
    <w:rPr>
      <w:rFonts w:eastAsia="楷体_GB2312"/>
      <w:sz w:val="26"/>
    </w:rPr>
  </w:style>
  <w:style w:type="character" w:customStyle="1" w:styleId="588">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589">
    <w:name w:val="日期 Char1"/>
    <w:qFormat/>
    <w:uiPriority w:val="0"/>
    <w:rPr>
      <w:rFonts w:eastAsia="楷体_GB2312"/>
      <w:sz w:val="26"/>
      <w:szCs w:val="26"/>
    </w:rPr>
  </w:style>
  <w:style w:type="character" w:customStyle="1" w:styleId="590">
    <w:name w:val="Balloon Text Char"/>
    <w:semiHidden/>
    <w:qFormat/>
    <w:uiPriority w:val="0"/>
    <w:rPr>
      <w:rFonts w:eastAsia="宋体"/>
      <w:sz w:val="18"/>
      <w:lang w:val="en-US" w:eastAsia="zh-CN"/>
    </w:rPr>
  </w:style>
  <w:style w:type="character" w:customStyle="1" w:styleId="591">
    <w:name w:val="font21"/>
    <w:basedOn w:val="64"/>
    <w:qFormat/>
    <w:uiPriority w:val="0"/>
    <w:rPr>
      <w:rFonts w:hint="eastAsia" w:ascii="宋体" w:hAnsi="宋体" w:eastAsia="宋体" w:cs="宋体"/>
      <w:b/>
      <w:color w:val="000000"/>
      <w:sz w:val="20"/>
      <w:szCs w:val="20"/>
      <w:u w:val="none"/>
    </w:rPr>
  </w:style>
  <w:style w:type="character" w:customStyle="1" w:styleId="592">
    <w:name w:val="font31"/>
    <w:qFormat/>
    <w:uiPriority w:val="0"/>
    <w:rPr>
      <w:rFonts w:ascii="宋体" w:hAnsi="宋体" w:eastAsia="宋体"/>
      <w:color w:val="000000"/>
      <w:sz w:val="20"/>
      <w:u w:val="none"/>
    </w:rPr>
  </w:style>
  <w:style w:type="character" w:customStyle="1" w:styleId="593">
    <w:name w:val="Body Text Indent Char"/>
    <w:qFormat/>
    <w:uiPriority w:val="0"/>
    <w:rPr>
      <w:rFonts w:ascii="方正仿宋简体" w:hAnsi="汉仪雅酷黑简" w:eastAsia="方正仿宋简体"/>
      <w:sz w:val="24"/>
    </w:rPr>
  </w:style>
  <w:style w:type="character" w:customStyle="1" w:styleId="594">
    <w:name w:val="Header Char1"/>
    <w:qFormat/>
    <w:uiPriority w:val="0"/>
    <w:rPr>
      <w:rFonts w:eastAsia="楷体_GB2312"/>
      <w:sz w:val="18"/>
    </w:rPr>
  </w:style>
  <w:style w:type="character" w:customStyle="1" w:styleId="595">
    <w:name w:val="正文文本缩进 Char2"/>
    <w:qFormat/>
    <w:uiPriority w:val="0"/>
    <w:rPr>
      <w:rFonts w:eastAsia="楷体_GB2312"/>
      <w:sz w:val="26"/>
      <w:szCs w:val="26"/>
    </w:rPr>
  </w:style>
  <w:style w:type="paragraph" w:customStyle="1" w:styleId="596">
    <w:name w:val="p0"/>
    <w:basedOn w:val="1"/>
    <w:qFormat/>
    <w:uiPriority w:val="0"/>
    <w:pPr>
      <w:widowControl/>
    </w:pPr>
    <w:rPr>
      <w:rFonts w:ascii="Calibri" w:hAnsi="Calibri"/>
      <w:szCs w:val="21"/>
    </w:rPr>
  </w:style>
  <w:style w:type="paragraph" w:customStyle="1" w:styleId="597">
    <w:name w:val="纯文本1"/>
    <w:basedOn w:val="1"/>
    <w:qFormat/>
    <w:uiPriority w:val="0"/>
    <w:rPr>
      <w:rFonts w:ascii="宋体" w:hAnsi="Courier New" w:eastAsia="楷体_GB2312"/>
      <w:sz w:val="28"/>
      <w:szCs w:val="20"/>
    </w:rPr>
  </w:style>
  <w:style w:type="paragraph" w:customStyle="1" w:styleId="598">
    <w:name w:val="Char Char1 Char Char Char Char"/>
    <w:basedOn w:val="19"/>
    <w:qFormat/>
    <w:uiPriority w:val="0"/>
    <w:pPr>
      <w:spacing w:line="360" w:lineRule="auto"/>
    </w:pPr>
    <w:rPr>
      <w:rFonts w:ascii="Tahoma" w:hAnsi="Tahoma"/>
      <w:sz w:val="24"/>
    </w:rPr>
  </w:style>
  <w:style w:type="paragraph" w:customStyle="1" w:styleId="599">
    <w:name w:val="Char Char1 Char Char Char Char Char Char Char"/>
    <w:basedOn w:val="1"/>
    <w:qFormat/>
    <w:uiPriority w:val="0"/>
    <w:rPr>
      <w:rFonts w:ascii="Tahoma" w:hAnsi="Tahoma" w:eastAsia="楷体_GB2312"/>
      <w:sz w:val="24"/>
      <w:szCs w:val="20"/>
    </w:rPr>
  </w:style>
  <w:style w:type="paragraph" w:customStyle="1" w:styleId="600">
    <w:name w:val="图"/>
    <w:basedOn w:val="1"/>
    <w:qFormat/>
    <w:uiPriority w:val="0"/>
    <w:pPr>
      <w:keepNext/>
      <w:spacing w:before="60" w:after="60" w:line="300" w:lineRule="auto"/>
      <w:jc w:val="center"/>
    </w:pPr>
    <w:rPr>
      <w:rFonts w:ascii="Calibri" w:hAnsi="Calibri"/>
      <w:spacing w:val="20"/>
      <w:sz w:val="24"/>
      <w:szCs w:val="20"/>
    </w:rPr>
  </w:style>
  <w:style w:type="paragraph" w:customStyle="1" w:styleId="601">
    <w:name w:val="纯文本2"/>
    <w:basedOn w:val="1"/>
    <w:qFormat/>
    <w:uiPriority w:val="0"/>
    <w:rPr>
      <w:rFonts w:ascii="宋体" w:hAnsi="Courier New" w:eastAsia="楷体_GB2312"/>
      <w:sz w:val="26"/>
      <w:szCs w:val="20"/>
    </w:rPr>
  </w:style>
  <w:style w:type="paragraph" w:customStyle="1" w:styleId="60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03">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604">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05">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06">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07">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szCs w:val="20"/>
    </w:rPr>
  </w:style>
  <w:style w:type="paragraph" w:customStyle="1" w:styleId="608">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09">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610">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611">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color w:val="000000"/>
      <w:sz w:val="20"/>
      <w:szCs w:val="20"/>
    </w:rPr>
  </w:style>
  <w:style w:type="paragraph" w:customStyle="1" w:styleId="612">
    <w:name w:val="font22"/>
    <w:basedOn w:val="1"/>
    <w:qFormat/>
    <w:uiPriority w:val="0"/>
    <w:pPr>
      <w:widowControl/>
      <w:spacing w:before="100" w:beforeAutospacing="1" w:after="100" w:afterAutospacing="1"/>
      <w:jc w:val="left"/>
    </w:pPr>
    <w:rPr>
      <w:rFonts w:ascii="宋体" w:hAnsi="宋体" w:cs="宋体"/>
      <w:sz w:val="18"/>
      <w:szCs w:val="18"/>
    </w:rPr>
  </w:style>
  <w:style w:type="paragraph" w:customStyle="1" w:styleId="613">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b/>
      <w:bCs/>
      <w:sz w:val="20"/>
      <w:szCs w:val="20"/>
    </w:rPr>
  </w:style>
  <w:style w:type="paragraph" w:customStyle="1" w:styleId="614">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615">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16">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17">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18">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19">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20">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21">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22">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23">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24">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25">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626">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27">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28">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29">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30">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31">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32">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633">
    <w:name w:val="列出段落11"/>
    <w:basedOn w:val="1"/>
    <w:qFormat/>
    <w:uiPriority w:val="34"/>
    <w:pPr>
      <w:ind w:firstLine="420"/>
    </w:pPr>
    <w:rPr>
      <w:rFonts w:ascii="Calibri" w:hAnsi="Calibri"/>
      <w:sz w:val="26"/>
      <w:szCs w:val="26"/>
    </w:rPr>
  </w:style>
  <w:style w:type="paragraph" w:customStyle="1" w:styleId="634">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635">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szCs w:val="20"/>
    </w:rPr>
  </w:style>
  <w:style w:type="paragraph" w:customStyle="1" w:styleId="636">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37">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szCs w:val="20"/>
    </w:rPr>
  </w:style>
  <w:style w:type="paragraph" w:customStyle="1" w:styleId="638">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639">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40">
    <w:name w:val="font17"/>
    <w:basedOn w:val="1"/>
    <w:qFormat/>
    <w:uiPriority w:val="0"/>
    <w:pPr>
      <w:widowControl/>
      <w:spacing w:before="100" w:beforeAutospacing="1" w:after="100" w:afterAutospacing="1"/>
      <w:jc w:val="left"/>
    </w:pPr>
    <w:rPr>
      <w:rFonts w:ascii="宋体" w:hAnsi="宋体" w:cs="宋体"/>
      <w:sz w:val="18"/>
      <w:szCs w:val="18"/>
    </w:rPr>
  </w:style>
  <w:style w:type="paragraph" w:customStyle="1" w:styleId="641">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42">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43">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44">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45">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46">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647">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sz w:val="20"/>
      <w:szCs w:val="20"/>
    </w:rPr>
  </w:style>
  <w:style w:type="paragraph" w:customStyle="1" w:styleId="648">
    <w:name w:val="正文1"/>
    <w:qFormat/>
    <w:uiPriority w:val="0"/>
    <w:pPr>
      <w:spacing w:line="240" w:lineRule="atLeast"/>
      <w:ind w:firstLine="200"/>
      <w:jc w:val="both"/>
    </w:pPr>
    <w:rPr>
      <w:rFonts w:hint="default" w:ascii="Calibri" w:hAnsi="Calibri" w:eastAsia="宋体" w:cs="Times New Roman"/>
      <w:sz w:val="21"/>
      <w:szCs w:val="21"/>
    </w:rPr>
  </w:style>
  <w:style w:type="paragraph" w:customStyle="1" w:styleId="649">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50">
    <w:name w:val="font16"/>
    <w:basedOn w:val="1"/>
    <w:qFormat/>
    <w:uiPriority w:val="0"/>
    <w:pPr>
      <w:widowControl/>
      <w:spacing w:before="100" w:beforeAutospacing="1" w:after="100" w:afterAutospacing="1"/>
      <w:jc w:val="left"/>
    </w:pPr>
    <w:rPr>
      <w:rFonts w:ascii="宋体" w:hAnsi="宋体" w:cs="宋体"/>
      <w:sz w:val="18"/>
      <w:szCs w:val="18"/>
    </w:rPr>
  </w:style>
  <w:style w:type="paragraph" w:customStyle="1" w:styleId="651">
    <w:name w:val="Normal_20"/>
    <w:qFormat/>
    <w:uiPriority w:val="0"/>
    <w:pPr>
      <w:spacing w:before="120" w:after="240"/>
      <w:jc w:val="both"/>
    </w:pPr>
    <w:rPr>
      <w:rFonts w:hint="default" w:ascii="Calibri" w:hAnsi="Calibri" w:eastAsia="Calibri" w:cs="Times New Roman"/>
      <w:sz w:val="22"/>
      <w:szCs w:val="22"/>
      <w:lang w:val="ru-RU" w:eastAsia="en-US"/>
    </w:rPr>
  </w:style>
  <w:style w:type="paragraph" w:customStyle="1" w:styleId="652">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color w:val="000000"/>
      <w:sz w:val="20"/>
      <w:szCs w:val="20"/>
    </w:rPr>
  </w:style>
  <w:style w:type="paragraph" w:customStyle="1" w:styleId="653">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54">
    <w:name w:val="_Style 7"/>
    <w:basedOn w:val="1"/>
    <w:qFormat/>
    <w:uiPriority w:val="0"/>
    <w:pPr>
      <w:ind w:firstLine="420"/>
    </w:pPr>
    <w:rPr>
      <w:rFonts w:ascii="Calibri" w:hAnsi="Calibri"/>
      <w:sz w:val="26"/>
      <w:szCs w:val="26"/>
    </w:rPr>
  </w:style>
  <w:style w:type="paragraph" w:customStyle="1" w:styleId="655">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656">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657">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658">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color w:val="000000"/>
      <w:sz w:val="20"/>
      <w:szCs w:val="20"/>
    </w:rPr>
  </w:style>
  <w:style w:type="paragraph" w:customStyle="1" w:styleId="659">
    <w:name w:val="xl99"/>
    <w:basedOn w:val="1"/>
    <w:qFormat/>
    <w:uiPriority w:val="0"/>
    <w:pPr>
      <w:widowControl/>
      <w:spacing w:before="100" w:beforeAutospacing="1" w:after="100" w:afterAutospacing="1"/>
      <w:jc w:val="center"/>
    </w:pPr>
    <w:rPr>
      <w:rFonts w:ascii="Courier New" w:hAnsi="Courier New" w:cs="Courier New"/>
      <w:color w:val="000000"/>
      <w:sz w:val="20"/>
      <w:szCs w:val="20"/>
    </w:rPr>
  </w:style>
  <w:style w:type="paragraph" w:customStyle="1" w:styleId="660">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61">
    <w:name w:val="_Style 26"/>
    <w:next w:val="1"/>
    <w:qFormat/>
    <w:uiPriority w:val="99"/>
    <w:pPr>
      <w:widowControl w:val="0"/>
      <w:jc w:val="both"/>
    </w:pPr>
    <w:rPr>
      <w:rFonts w:hint="default" w:ascii="Calibri" w:hAnsi="Calibri" w:eastAsia="楷体_GB2312" w:cs="Times New Roman"/>
      <w:sz w:val="26"/>
      <w:szCs w:val="26"/>
    </w:rPr>
  </w:style>
  <w:style w:type="paragraph" w:customStyle="1" w:styleId="662">
    <w:name w:val="样式 标题 1 + 宋体 段前: 0 磅 段后: 0 磅 行距: 单倍行距"/>
    <w:basedOn w:val="129"/>
    <w:next w:val="1"/>
    <w:qFormat/>
    <w:uiPriority w:val="0"/>
    <w:pPr>
      <w:spacing w:before="340" w:after="330"/>
      <w:jc w:val="center"/>
    </w:pPr>
    <w:rPr>
      <w:rFonts w:ascii="仿宋_GB2312" w:hAnsi="宋体" w:eastAsia="仿宋_GB2312" w:cs="宋体"/>
      <w:b/>
      <w:bCs/>
      <w:sz w:val="44"/>
      <w:szCs w:val="44"/>
    </w:rPr>
  </w:style>
  <w:style w:type="paragraph" w:customStyle="1" w:styleId="663">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664">
    <w:name w:val="font20"/>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665">
    <w:name w:val="font13"/>
    <w:basedOn w:val="1"/>
    <w:qFormat/>
    <w:uiPriority w:val="0"/>
    <w:pPr>
      <w:widowControl/>
      <w:spacing w:before="100" w:beforeAutospacing="1" w:after="100" w:afterAutospacing="1"/>
      <w:jc w:val="left"/>
    </w:pPr>
    <w:rPr>
      <w:rFonts w:ascii="宋体" w:hAnsi="宋体" w:cs="宋体"/>
      <w:sz w:val="18"/>
      <w:szCs w:val="18"/>
    </w:rPr>
  </w:style>
  <w:style w:type="paragraph" w:customStyle="1" w:styleId="666">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667">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68">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69">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670">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71">
    <w:name w:val="xl158"/>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67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73">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74">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675">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676">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b/>
      <w:bCs/>
      <w:sz w:val="20"/>
      <w:szCs w:val="20"/>
    </w:rPr>
  </w:style>
  <w:style w:type="paragraph" w:customStyle="1" w:styleId="677">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78">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79">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color w:val="000000"/>
      <w:sz w:val="20"/>
      <w:szCs w:val="20"/>
    </w:rPr>
  </w:style>
  <w:style w:type="paragraph" w:customStyle="1" w:styleId="680">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681">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682">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683">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684">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table" w:customStyle="1" w:styleId="685">
    <w:name w:val="网格型111"/>
    <w:basedOn w:val="62"/>
    <w:qFormat/>
    <w:uiPriority w:val="0"/>
    <w:pPr>
      <w:widowControl w:val="0"/>
      <w:jc w:val="both"/>
    </w:pPr>
    <w:rPr>
      <w:sz w:val="21"/>
      <w:szCs w:val="22"/>
    </w:rPr>
  </w:style>
  <w:style w:type="paragraph" w:customStyle="1" w:styleId="686">
    <w:name w:val="_Style 225"/>
    <w:qFormat/>
    <w:uiPriority w:val="0"/>
    <w:pPr>
      <w:widowControl w:val="0"/>
      <w:spacing w:after="120"/>
      <w:ind w:firstLine="420"/>
      <w:jc w:val="both"/>
    </w:pPr>
    <w:rPr>
      <w:rFonts w:hint="default" w:ascii="Calibri" w:hAnsi="Calibri" w:eastAsia="楷体_GB2312" w:cs="Times New Roman"/>
      <w:sz w:val="26"/>
    </w:rPr>
  </w:style>
  <w:style w:type="character" w:customStyle="1" w:styleId="687">
    <w:name w:val="正文文本 字符1"/>
    <w:qFormat/>
    <w:uiPriority w:val="0"/>
    <w:rPr>
      <w:rFonts w:ascii="楷体_GB2312" w:eastAsia="楷体_GB2312"/>
      <w:sz w:val="28"/>
    </w:rPr>
  </w:style>
  <w:style w:type="table" w:customStyle="1" w:styleId="688">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689">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690">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691">
    <w:name w:val="Table Normal3"/>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692">
    <w:name w:val="样式 行距: 1.5 倍行距 左  3.42 字符"/>
    <w:basedOn w:val="1"/>
    <w:qFormat/>
    <w:uiPriority w:val="0"/>
    <w:pPr>
      <w:spacing w:line="360" w:lineRule="auto"/>
      <w:ind w:left="200" w:firstLine="200"/>
    </w:pPr>
    <w:rPr>
      <w:szCs w:val="20"/>
    </w:rPr>
  </w:style>
  <w:style w:type="paragraph" w:customStyle="1" w:styleId="693">
    <w:name w:val="表格文字"/>
    <w:basedOn w:val="694"/>
    <w:next w:val="3"/>
    <w:qFormat/>
    <w:uiPriority w:val="0"/>
  </w:style>
  <w:style w:type="paragraph" w:customStyle="1" w:styleId="694">
    <w:name w:val="表格文字（两侧对齐）"/>
    <w:basedOn w:val="1"/>
    <w:qFormat/>
    <w:uiPriority w:val="0"/>
    <w:rPr>
      <w:rFonts w:ascii="Calibri" w:hAnsi="Calibri"/>
      <w:sz w:val="20"/>
      <w:szCs w:val="22"/>
    </w:rPr>
  </w:style>
  <w:style w:type="paragraph" w:customStyle="1" w:styleId="695">
    <w:name w:val="无间隔1"/>
    <w:qFormat/>
    <w:uiPriority w:val="0"/>
    <w:pPr>
      <w:widowControl w:val="0"/>
      <w:spacing w:line="300" w:lineRule="auto"/>
    </w:pPr>
    <w:rPr>
      <w:rFonts w:hint="default" w:ascii="Times New Roman" w:hAnsi="Times New Roman" w:eastAsia="华文仿宋" w:cs="Times New Roman"/>
      <w:sz w:val="24"/>
      <w:szCs w:val="21"/>
    </w:rPr>
  </w:style>
  <w:style w:type="paragraph" w:customStyle="1" w:styleId="696">
    <w:name w:val="正文首行缩进 211"/>
    <w:basedOn w:val="697"/>
    <w:unhideWhenUsed/>
    <w:qFormat/>
    <w:uiPriority w:val="0"/>
    <w:pPr>
      <w:ind w:firstLine="420"/>
    </w:pPr>
  </w:style>
  <w:style w:type="paragraph" w:customStyle="1" w:styleId="697">
    <w:name w:val="正文文本缩进11"/>
    <w:basedOn w:val="1"/>
    <w:next w:val="698"/>
    <w:unhideWhenUsed/>
    <w:qFormat/>
    <w:uiPriority w:val="0"/>
    <w:pPr>
      <w:spacing w:after="120"/>
      <w:ind w:left="420"/>
    </w:pPr>
    <w:rPr>
      <w:szCs w:val="22"/>
      <w:lang w:eastAsia="en-US"/>
    </w:rPr>
  </w:style>
  <w:style w:type="paragraph" w:customStyle="1" w:styleId="698">
    <w:name w:val="寄信人地址11"/>
    <w:basedOn w:val="1"/>
    <w:unhideWhenUsed/>
    <w:qFormat/>
    <w:uiPriority w:val="99"/>
    <w:rPr>
      <w:rFonts w:ascii="Arial" w:hAnsi="Arial" w:eastAsia="楷体_GB2312"/>
      <w:sz w:val="26"/>
      <w:szCs w:val="20"/>
    </w:rPr>
  </w:style>
  <w:style w:type="character" w:customStyle="1" w:styleId="699">
    <w:name w:val="页眉 字符1"/>
    <w:qFormat/>
    <w:uiPriority w:val="99"/>
    <w:rPr>
      <w:rFonts w:ascii="Calibri" w:hAnsi="Calibri"/>
      <w:sz w:val="18"/>
      <w:szCs w:val="18"/>
    </w:rPr>
  </w:style>
  <w:style w:type="character" w:customStyle="1" w:styleId="700">
    <w:name w:val="页脚 字符1"/>
    <w:qFormat/>
    <w:uiPriority w:val="99"/>
    <w:rPr>
      <w:rFonts w:ascii="Calibri" w:hAnsi="Calibri"/>
      <w:sz w:val="18"/>
      <w:szCs w:val="18"/>
    </w:rPr>
  </w:style>
  <w:style w:type="paragraph" w:customStyle="1" w:styleId="701">
    <w:name w:val="正文首行缩进 2111"/>
    <w:basedOn w:val="24"/>
    <w:unhideWhenUsed/>
    <w:qFormat/>
    <w:uiPriority w:val="0"/>
    <w:pPr>
      <w:spacing w:after="120"/>
      <w:ind w:left="420" w:firstLine="420"/>
    </w:pPr>
    <w:rPr>
      <w:rFonts w:ascii="Times New Roman" w:eastAsia="宋体"/>
      <w:sz w:val="21"/>
      <w:szCs w:val="22"/>
      <w:lang w:eastAsia="en-US"/>
    </w:rPr>
  </w:style>
  <w:style w:type="table" w:customStyle="1" w:styleId="702">
    <w:name w:val="网格型4"/>
    <w:basedOn w:val="62"/>
    <w:unhideWhenUsed/>
    <w:qFormat/>
    <w:uiPriority w:val="59"/>
  </w:style>
  <w:style w:type="table" w:customStyle="1" w:styleId="703">
    <w:name w:val="Plain Table 31"/>
    <w:qFormat/>
    <w:uiPriority w:val="99"/>
    <w:tblPr>
      <w:tblCellMar>
        <w:top w:w="0" w:type="dxa"/>
        <w:left w:w="0" w:type="dxa"/>
        <w:bottom w:w="0" w:type="dxa"/>
        <w:right w:w="0" w:type="dxa"/>
      </w:tblCellMar>
    </w:tblPr>
  </w:style>
  <w:style w:type="table" w:customStyle="1" w:styleId="704">
    <w:name w:val="Plain Table 41"/>
    <w:qFormat/>
    <w:uiPriority w:val="99"/>
    <w:tblPr>
      <w:tblCellMar>
        <w:top w:w="0" w:type="dxa"/>
        <w:left w:w="0" w:type="dxa"/>
        <w:bottom w:w="0" w:type="dxa"/>
        <w:right w:w="0" w:type="dxa"/>
      </w:tblCellMar>
    </w:tblPr>
  </w:style>
  <w:style w:type="table" w:customStyle="1" w:styleId="705">
    <w:name w:val="Plain Table 51"/>
    <w:qFormat/>
    <w:uiPriority w:val="99"/>
    <w:tblPr>
      <w:tblCellMar>
        <w:top w:w="0" w:type="dxa"/>
        <w:left w:w="0" w:type="dxa"/>
        <w:bottom w:w="0" w:type="dxa"/>
        <w:right w:w="0" w:type="dxa"/>
      </w:tblCellMar>
    </w:tblPr>
  </w:style>
  <w:style w:type="table" w:customStyle="1" w:styleId="706">
    <w:name w:val="Grid Table 1 Light1"/>
    <w:qFormat/>
    <w:uiPriority w:val="99"/>
    <w:tblPr>
      <w:tblCellMar>
        <w:top w:w="0" w:type="dxa"/>
        <w:left w:w="0" w:type="dxa"/>
        <w:bottom w:w="0" w:type="dxa"/>
        <w:right w:w="0" w:type="dxa"/>
      </w:tblCellMar>
    </w:tblPr>
  </w:style>
  <w:style w:type="table" w:customStyle="1" w:styleId="707">
    <w:name w:val="Grid Table 21"/>
    <w:qFormat/>
    <w:uiPriority w:val="99"/>
    <w:tblPr>
      <w:tblCellMar>
        <w:top w:w="0" w:type="dxa"/>
        <w:left w:w="0" w:type="dxa"/>
        <w:bottom w:w="0" w:type="dxa"/>
        <w:right w:w="0" w:type="dxa"/>
      </w:tblCellMar>
    </w:tblPr>
  </w:style>
  <w:style w:type="table" w:customStyle="1" w:styleId="708">
    <w:name w:val="Grid Table 31"/>
    <w:qFormat/>
    <w:uiPriority w:val="99"/>
    <w:tblPr>
      <w:tblCellMar>
        <w:top w:w="0" w:type="dxa"/>
        <w:left w:w="0" w:type="dxa"/>
        <w:bottom w:w="0" w:type="dxa"/>
        <w:right w:w="0" w:type="dxa"/>
      </w:tblCellMar>
    </w:tblPr>
  </w:style>
  <w:style w:type="table" w:customStyle="1" w:styleId="709">
    <w:name w:val="Grid Table 41"/>
    <w:qFormat/>
    <w:uiPriority w:val="59"/>
    <w:tblPr>
      <w:tblCellMar>
        <w:top w:w="0" w:type="dxa"/>
        <w:left w:w="0" w:type="dxa"/>
        <w:bottom w:w="0" w:type="dxa"/>
        <w:right w:w="0" w:type="dxa"/>
      </w:tblCellMar>
    </w:tblPr>
  </w:style>
  <w:style w:type="table" w:customStyle="1" w:styleId="710">
    <w:name w:val="Grid Table 5 Dark1"/>
    <w:qFormat/>
    <w:uiPriority w:val="99"/>
    <w:tblPr>
      <w:tblCellMar>
        <w:top w:w="0" w:type="dxa"/>
        <w:left w:w="0" w:type="dxa"/>
        <w:bottom w:w="0" w:type="dxa"/>
        <w:right w:w="0" w:type="dxa"/>
      </w:tblCellMar>
    </w:tblPr>
  </w:style>
  <w:style w:type="table" w:customStyle="1" w:styleId="711">
    <w:name w:val="Grid Table 6 Colorful1"/>
    <w:qFormat/>
    <w:uiPriority w:val="99"/>
    <w:tblPr>
      <w:tblCellMar>
        <w:top w:w="0" w:type="dxa"/>
        <w:left w:w="0" w:type="dxa"/>
        <w:bottom w:w="0" w:type="dxa"/>
        <w:right w:w="0" w:type="dxa"/>
      </w:tblCellMar>
    </w:tblPr>
  </w:style>
  <w:style w:type="table" w:customStyle="1" w:styleId="712">
    <w:name w:val="Grid Table 7 Colorful1"/>
    <w:qFormat/>
    <w:uiPriority w:val="99"/>
    <w:tblPr>
      <w:tblCellMar>
        <w:top w:w="0" w:type="dxa"/>
        <w:left w:w="0" w:type="dxa"/>
        <w:bottom w:w="0" w:type="dxa"/>
        <w:right w:w="0" w:type="dxa"/>
      </w:tblCellMar>
    </w:tblPr>
  </w:style>
  <w:style w:type="table" w:customStyle="1" w:styleId="713">
    <w:name w:val="List Table 1 Light1"/>
    <w:qFormat/>
    <w:uiPriority w:val="99"/>
    <w:tblPr>
      <w:tblCellMar>
        <w:top w:w="0" w:type="dxa"/>
        <w:left w:w="0" w:type="dxa"/>
        <w:bottom w:w="0" w:type="dxa"/>
        <w:right w:w="0" w:type="dxa"/>
      </w:tblCellMar>
    </w:tblPr>
  </w:style>
  <w:style w:type="table" w:customStyle="1" w:styleId="714">
    <w:name w:val="List Table 21"/>
    <w:qFormat/>
    <w:uiPriority w:val="99"/>
    <w:tblPr>
      <w:tblCellMar>
        <w:top w:w="0" w:type="dxa"/>
        <w:left w:w="0" w:type="dxa"/>
        <w:bottom w:w="0" w:type="dxa"/>
        <w:right w:w="0" w:type="dxa"/>
      </w:tblCellMar>
    </w:tblPr>
  </w:style>
  <w:style w:type="table" w:customStyle="1" w:styleId="715">
    <w:name w:val="List Table 31"/>
    <w:qFormat/>
    <w:uiPriority w:val="99"/>
    <w:tblPr>
      <w:tblCellMar>
        <w:top w:w="0" w:type="dxa"/>
        <w:left w:w="0" w:type="dxa"/>
        <w:bottom w:w="0" w:type="dxa"/>
        <w:right w:w="0" w:type="dxa"/>
      </w:tblCellMar>
    </w:tblPr>
  </w:style>
  <w:style w:type="table" w:customStyle="1" w:styleId="716">
    <w:name w:val="List Table 41"/>
    <w:qFormat/>
    <w:uiPriority w:val="99"/>
    <w:tblPr>
      <w:tblCellMar>
        <w:top w:w="0" w:type="dxa"/>
        <w:left w:w="0" w:type="dxa"/>
        <w:bottom w:w="0" w:type="dxa"/>
        <w:right w:w="0" w:type="dxa"/>
      </w:tblCellMar>
    </w:tblPr>
  </w:style>
  <w:style w:type="table" w:customStyle="1" w:styleId="717">
    <w:name w:val="List Table 5 Dark1"/>
    <w:qFormat/>
    <w:uiPriority w:val="99"/>
    <w:tblPr>
      <w:tblCellMar>
        <w:top w:w="0" w:type="dxa"/>
        <w:left w:w="0" w:type="dxa"/>
        <w:bottom w:w="0" w:type="dxa"/>
        <w:right w:w="0" w:type="dxa"/>
      </w:tblCellMar>
    </w:tblPr>
  </w:style>
  <w:style w:type="table" w:customStyle="1" w:styleId="718">
    <w:name w:val="List Table 6 Colorful1"/>
    <w:qFormat/>
    <w:uiPriority w:val="99"/>
    <w:tblPr>
      <w:tblCellMar>
        <w:top w:w="0" w:type="dxa"/>
        <w:left w:w="0" w:type="dxa"/>
        <w:bottom w:w="0" w:type="dxa"/>
        <w:right w:w="0" w:type="dxa"/>
      </w:tblCellMar>
    </w:tblPr>
  </w:style>
  <w:style w:type="table" w:customStyle="1" w:styleId="719">
    <w:name w:val="List Table 7 Colorful1"/>
    <w:qFormat/>
    <w:uiPriority w:val="99"/>
    <w:tblPr>
      <w:tblCellMar>
        <w:top w:w="0" w:type="dxa"/>
        <w:left w:w="0" w:type="dxa"/>
        <w:bottom w:w="0" w:type="dxa"/>
        <w:right w:w="0" w:type="dxa"/>
      </w:tblCellMar>
    </w:tblPr>
  </w:style>
  <w:style w:type="table" w:customStyle="1" w:styleId="720">
    <w:name w:val="Lined - Accent 12"/>
    <w:qFormat/>
    <w:uiPriority w:val="99"/>
    <w:rPr>
      <w:color w:val="404040"/>
    </w:rPr>
    <w:tblPr>
      <w:tblCellMar>
        <w:top w:w="0" w:type="dxa"/>
        <w:left w:w="0" w:type="dxa"/>
        <w:bottom w:w="0" w:type="dxa"/>
        <w:right w:w="0" w:type="dxa"/>
      </w:tblCellMar>
    </w:tblPr>
  </w:style>
  <w:style w:type="table" w:customStyle="1" w:styleId="721">
    <w:name w:val="Bordered &amp; Lined - Accent 12"/>
    <w:qFormat/>
    <w:uiPriority w:val="99"/>
    <w:rPr>
      <w:color w:val="404040"/>
    </w:rPr>
    <w:tblPr>
      <w:tblCellMar>
        <w:top w:w="0" w:type="dxa"/>
        <w:left w:w="0" w:type="dxa"/>
        <w:bottom w:w="0" w:type="dxa"/>
        <w:right w:w="0" w:type="dxa"/>
      </w:tblCellMar>
    </w:tblPr>
  </w:style>
  <w:style w:type="character" w:customStyle="1" w:styleId="722">
    <w:name w:val="未处理的提及1"/>
    <w:basedOn w:val="64"/>
    <w:semiHidden/>
    <w:unhideWhenUsed/>
    <w:qFormat/>
    <w:uiPriority w:val="99"/>
    <w:rPr>
      <w:color w:val="605E5C"/>
      <w:shd w:val="clear" w:color="auto" w:fill="E1DFDD"/>
    </w:rPr>
  </w:style>
  <w:style w:type="paragraph" w:customStyle="1" w:styleId="723">
    <w:name w:val="附录标题"/>
    <w:next w:val="1"/>
    <w:qFormat/>
    <w:uiPriority w:val="0"/>
    <w:pPr>
      <w:widowControl w:val="0"/>
      <w:spacing w:after="240"/>
      <w:outlineLvl w:val="0"/>
    </w:pPr>
    <w:rPr>
      <w:rFonts w:hint="default" w:ascii="Times New Roman" w:hAnsi="Times New Roman" w:eastAsia="宋体" w:cs="Times New Roman"/>
      <w:b/>
      <w:sz w:val="24"/>
    </w:rPr>
  </w:style>
  <w:style w:type="paragraph" w:customStyle="1" w:styleId="724">
    <w:name w:val="章前标题"/>
    <w:next w:val="1"/>
    <w:qFormat/>
    <w:uiPriority w:val="0"/>
    <w:pPr>
      <w:widowControl w:val="0"/>
      <w:spacing w:before="240" w:after="240"/>
      <w:jc w:val="center"/>
    </w:pPr>
    <w:rPr>
      <w:rFonts w:hint="default" w:ascii="黑体" w:hAnsi="黑体" w:eastAsia="黑体" w:cs="黑体"/>
      <w:sz w:val="32"/>
      <w:szCs w:val="36"/>
    </w:rPr>
  </w:style>
  <w:style w:type="paragraph" w:customStyle="1" w:styleId="725">
    <w:name w:val="章节标题"/>
    <w:next w:val="1"/>
    <w:qFormat/>
    <w:uiPriority w:val="0"/>
    <w:pPr>
      <w:widowControl w:val="0"/>
      <w:spacing w:before="240" w:after="240"/>
      <w:jc w:val="center"/>
      <w:outlineLvl w:val="0"/>
    </w:pPr>
    <w:rPr>
      <w:rFonts w:hint="default" w:ascii="Times New Roman" w:hAnsi="Times New Roman" w:eastAsia="黑体" w:cs="Times New Roman"/>
      <w:sz w:val="32"/>
      <w:szCs w:val="36"/>
    </w:rPr>
  </w:style>
  <w:style w:type="paragraph" w:customStyle="1" w:styleId="726">
    <w:name w:val="内嵌文档标题1"/>
    <w:next w:val="1"/>
    <w:qFormat/>
    <w:uiPriority w:val="0"/>
    <w:pPr>
      <w:widowControl w:val="0"/>
      <w:spacing w:before="240" w:after="240" w:line="360" w:lineRule="auto"/>
      <w:jc w:val="center"/>
      <w:outlineLvl w:val="0"/>
    </w:pPr>
    <w:rPr>
      <w:rFonts w:hint="default" w:ascii="Times New Roman" w:hAnsi="Times New Roman" w:eastAsia="宋体" w:cs="Times New Roman"/>
      <w:b/>
      <w:sz w:val="24"/>
    </w:rPr>
  </w:style>
  <w:style w:type="paragraph" w:customStyle="1" w:styleId="727">
    <w:name w:val="强调标题"/>
    <w:next w:val="1"/>
    <w:qFormat/>
    <w:uiPriority w:val="0"/>
    <w:pPr>
      <w:spacing w:after="120" w:line="360" w:lineRule="auto"/>
      <w:ind w:firstLine="420"/>
      <w:outlineLvl w:val="0"/>
    </w:pPr>
    <w:rPr>
      <w:rFonts w:hint="default" w:ascii="Calibri" w:hAnsi="Calibri" w:eastAsia="宋体" w:cs="Times New Roman"/>
      <w:b/>
      <w:sz w:val="24"/>
    </w:rPr>
  </w:style>
  <w:style w:type="paragraph" w:customStyle="1" w:styleId="728">
    <w:name w:val="表格标题"/>
    <w:next w:val="1"/>
    <w:qFormat/>
    <w:uiPriority w:val="0"/>
    <w:pPr>
      <w:widowControl w:val="0"/>
      <w:spacing w:before="240" w:after="240"/>
      <w:jc w:val="center"/>
    </w:pPr>
    <w:rPr>
      <w:rFonts w:hint="default" w:ascii="宋体" w:hAnsi="宋体" w:eastAsia="宋体" w:cs="宋体"/>
      <w:b/>
      <w:sz w:val="24"/>
      <w:szCs w:val="22"/>
    </w:rPr>
  </w:style>
  <w:style w:type="paragraph" w:customStyle="1" w:styleId="729">
    <w:name w:val="内嵌文档标题2"/>
    <w:next w:val="1"/>
    <w:qFormat/>
    <w:uiPriority w:val="0"/>
    <w:pPr>
      <w:widowControl w:val="0"/>
      <w:shd w:val="clear" w:color="auto" w:fill="FFFFFF"/>
      <w:spacing w:before="240" w:after="240" w:line="360" w:lineRule="auto"/>
      <w:jc w:val="center"/>
      <w:outlineLvl w:val="0"/>
    </w:pPr>
    <w:rPr>
      <w:rFonts w:hint="default" w:ascii="宋体" w:hAnsi="宋体" w:eastAsia="宋体" w:cs="宋体"/>
      <w:b/>
      <w:bCs/>
      <w:sz w:val="24"/>
      <w:szCs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23115</Words>
  <Characters>24103</Characters>
  <TotalTime>24</TotalTime>
  <ScaleCrop>false</ScaleCrop>
  <LinksUpToDate>false</LinksUpToDate>
  <CharactersWithSpaces>24535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2024-09-03T02:08:00Z</dcterms:created>
  <dc:creator>US</dc:creator>
  <cp:lastModifiedBy>丁昕</cp:lastModifiedBy>
  <cp:lastPrinted>2025-11-17T08:15:00Z</cp:lastPrinted>
  <dcterms:modified xsi:type="dcterms:W3CDTF">2025-11-24T03:03:04Z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DB6D0C9EECB949F6BAECF2FE6D354969_13</vt:lpwstr>
  </property>
  <property fmtid="{D5CDD505-2E9C-101B-9397-08002B2CF9AE}" pid="4" name="KSOTemplateDocerSaveRecord">
    <vt:lpwstr>eyJoZGlkIjoiMGZjYjM3YmRlN2NlYTJlZGM3MDljMzEyYzE1ZGY5NWQiLCJ1c2VySWQiOiIzNzU0NjAwNDgifQ==</vt:lpwstr>
  </property>
</Properties>
</file>